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E78CB" w14:textId="634EA82D" w:rsidR="007429A8" w:rsidRPr="00CD7AED" w:rsidRDefault="007429A8" w:rsidP="00484A9F">
      <w:pPr>
        <w:rPr>
          <w:rFonts w:ascii="Arial" w:hAnsi="Arial" w:cs="Arial"/>
          <w:b/>
          <w:bCs/>
          <w:sz w:val="40"/>
          <w:szCs w:val="40"/>
        </w:rPr>
      </w:pPr>
      <w:r w:rsidRPr="00A73D9E">
        <w:rPr>
          <w:rFonts w:ascii="Arial" w:hAnsi="Arial" w:cs="Arial"/>
          <w:b/>
          <w:bCs/>
          <w:sz w:val="24"/>
          <w:szCs w:val="24"/>
        </w:rPr>
        <w:t xml:space="preserve">Memorandum of Understanding </w:t>
      </w:r>
    </w:p>
    <w:p w14:paraId="7EBCC89A" w14:textId="07ACE131" w:rsidR="007429A8" w:rsidRPr="00A73D9E" w:rsidRDefault="007429A8" w:rsidP="00484A9F">
      <w:pPr>
        <w:rPr>
          <w:rFonts w:ascii="Arial" w:hAnsi="Arial" w:cs="Arial"/>
          <w:b/>
          <w:bCs/>
          <w:sz w:val="24"/>
          <w:szCs w:val="24"/>
        </w:rPr>
      </w:pPr>
      <w:r w:rsidRPr="00A73D9E">
        <w:rPr>
          <w:rFonts w:ascii="Arial" w:hAnsi="Arial" w:cs="Arial"/>
          <w:b/>
          <w:bCs/>
          <w:sz w:val="24"/>
          <w:szCs w:val="24"/>
        </w:rPr>
        <w:t xml:space="preserve">Care Quality Commission and </w:t>
      </w:r>
      <w:r w:rsidR="009D5656" w:rsidRPr="00A73D9E">
        <w:rPr>
          <w:rFonts w:ascii="Arial" w:hAnsi="Arial" w:cs="Arial"/>
          <w:b/>
          <w:bCs/>
          <w:sz w:val="24"/>
          <w:szCs w:val="24"/>
        </w:rPr>
        <w:t>NHS R</w:t>
      </w:r>
      <w:r w:rsidR="00374EB3" w:rsidRPr="00A73D9E">
        <w:rPr>
          <w:rFonts w:ascii="Arial" w:hAnsi="Arial" w:cs="Arial"/>
          <w:b/>
          <w:bCs/>
          <w:sz w:val="24"/>
          <w:szCs w:val="24"/>
        </w:rPr>
        <w:t xml:space="preserve">esolution </w:t>
      </w:r>
    </w:p>
    <w:p w14:paraId="2B68B960" w14:textId="77777777" w:rsidR="007429A8" w:rsidRPr="00A73D9E" w:rsidRDefault="007429A8" w:rsidP="00484A9F">
      <w:pPr>
        <w:rPr>
          <w:rFonts w:ascii="Arial" w:hAnsi="Arial" w:cs="Arial"/>
          <w:sz w:val="24"/>
          <w:szCs w:val="24"/>
        </w:rPr>
      </w:pPr>
    </w:p>
    <w:p w14:paraId="6B9C7469" w14:textId="77777777" w:rsidR="007429A8" w:rsidRPr="00D52C0E" w:rsidRDefault="007429A8" w:rsidP="000A6647">
      <w:pPr>
        <w:pStyle w:val="Heading1"/>
      </w:pPr>
      <w:r w:rsidRPr="00D52C0E">
        <w:t xml:space="preserve">Introduction </w:t>
      </w:r>
    </w:p>
    <w:p w14:paraId="6C2AC67F" w14:textId="77777777" w:rsidR="007429A8" w:rsidRPr="00D52C0E" w:rsidRDefault="007429A8" w:rsidP="00484A9F">
      <w:pPr>
        <w:rPr>
          <w:rFonts w:ascii="Arial" w:hAnsi="Arial" w:cs="Arial"/>
        </w:rPr>
      </w:pPr>
    </w:p>
    <w:p w14:paraId="6DA8734A" w14:textId="56A4CBEB" w:rsidR="007429A8" w:rsidRPr="00600807" w:rsidRDefault="007429A8" w:rsidP="0030415F">
      <w:pPr>
        <w:pStyle w:val="ListParagraph"/>
        <w:numPr>
          <w:ilvl w:val="0"/>
          <w:numId w:val="4"/>
        </w:numPr>
        <w:rPr>
          <w:rFonts w:ascii="Arial" w:hAnsi="Arial" w:cs="Arial"/>
        </w:rPr>
      </w:pPr>
      <w:r w:rsidRPr="00600807">
        <w:rPr>
          <w:rFonts w:ascii="Arial" w:hAnsi="Arial" w:cs="Arial"/>
        </w:rPr>
        <w:t xml:space="preserve">This Memorandum of Understanding (MoU) sets out the framework to support the working relationship between the Care Quality Commission (CQC) and </w:t>
      </w:r>
      <w:r w:rsidR="009D5656" w:rsidRPr="00600807">
        <w:rPr>
          <w:rFonts w:ascii="Arial" w:hAnsi="Arial" w:cs="Arial"/>
        </w:rPr>
        <w:t>NHS R</w:t>
      </w:r>
      <w:r w:rsidR="000174CE" w:rsidRPr="00600807">
        <w:rPr>
          <w:rFonts w:ascii="Arial" w:hAnsi="Arial" w:cs="Arial"/>
        </w:rPr>
        <w:t>esolution</w:t>
      </w:r>
      <w:r w:rsidR="00853772" w:rsidRPr="00600807">
        <w:rPr>
          <w:rFonts w:ascii="Arial" w:hAnsi="Arial" w:cs="Arial"/>
        </w:rPr>
        <w:t xml:space="preserve"> (NHSR)</w:t>
      </w:r>
      <w:r w:rsidRPr="00600807">
        <w:rPr>
          <w:rFonts w:ascii="Arial" w:hAnsi="Arial" w:cs="Arial"/>
        </w:rPr>
        <w:t>, to promote the safety and wellbeing of the public receiving NHS funded health and social care in England. It is intended to inform members of staff</w:t>
      </w:r>
      <w:r w:rsidR="0067541D" w:rsidRPr="00600807">
        <w:rPr>
          <w:rFonts w:ascii="Arial" w:hAnsi="Arial" w:cs="Arial"/>
        </w:rPr>
        <w:t>,</w:t>
      </w:r>
      <w:r w:rsidR="000174CE" w:rsidRPr="00600807">
        <w:rPr>
          <w:rFonts w:ascii="Arial" w:hAnsi="Arial" w:cs="Arial"/>
        </w:rPr>
        <w:t xml:space="preserve"> our service users and the public</w:t>
      </w:r>
      <w:r w:rsidRPr="00600807">
        <w:rPr>
          <w:rFonts w:ascii="Arial" w:hAnsi="Arial" w:cs="Arial"/>
        </w:rPr>
        <w:t xml:space="preserve"> about how CQC and </w:t>
      </w:r>
      <w:r w:rsidR="000174CE" w:rsidRPr="00600807">
        <w:rPr>
          <w:rFonts w:ascii="Arial" w:hAnsi="Arial" w:cs="Arial"/>
        </w:rPr>
        <w:t>NHS</w:t>
      </w:r>
      <w:r w:rsidR="00BE02F2" w:rsidRPr="00600807">
        <w:rPr>
          <w:rFonts w:ascii="Arial" w:hAnsi="Arial" w:cs="Arial"/>
        </w:rPr>
        <w:t xml:space="preserve"> </w:t>
      </w:r>
      <w:r w:rsidR="000174CE" w:rsidRPr="00600807">
        <w:rPr>
          <w:rFonts w:ascii="Arial" w:hAnsi="Arial" w:cs="Arial"/>
        </w:rPr>
        <w:t>R</w:t>
      </w:r>
      <w:r w:rsidR="00BE02F2" w:rsidRPr="00600807">
        <w:rPr>
          <w:rFonts w:ascii="Arial" w:hAnsi="Arial" w:cs="Arial"/>
        </w:rPr>
        <w:t>esolution</w:t>
      </w:r>
      <w:r w:rsidR="00800FA1" w:rsidRPr="00600807">
        <w:rPr>
          <w:rFonts w:ascii="Arial" w:hAnsi="Arial" w:cs="Arial"/>
        </w:rPr>
        <w:t xml:space="preserve"> </w:t>
      </w:r>
      <w:r w:rsidRPr="00600807">
        <w:rPr>
          <w:rFonts w:ascii="Arial" w:hAnsi="Arial" w:cs="Arial"/>
        </w:rPr>
        <w:t xml:space="preserve">will work together, and to ensure that effective channels of communication are maintained. </w:t>
      </w:r>
    </w:p>
    <w:p w14:paraId="0B2FE113" w14:textId="77777777" w:rsidR="00800FA1" w:rsidRPr="00600807" w:rsidRDefault="00800FA1" w:rsidP="00800FA1">
      <w:pPr>
        <w:pStyle w:val="ListParagraph"/>
        <w:ind w:left="360"/>
        <w:rPr>
          <w:rFonts w:ascii="Arial" w:hAnsi="Arial" w:cs="Arial"/>
        </w:rPr>
      </w:pPr>
    </w:p>
    <w:p w14:paraId="3ECB4D74" w14:textId="4CB750DB" w:rsidR="00FA16CF" w:rsidRPr="00600807" w:rsidRDefault="007429A8" w:rsidP="0030415F">
      <w:pPr>
        <w:pStyle w:val="ListParagraph"/>
        <w:numPr>
          <w:ilvl w:val="0"/>
          <w:numId w:val="4"/>
        </w:numPr>
        <w:rPr>
          <w:rFonts w:ascii="Arial" w:hAnsi="Arial" w:cs="Arial"/>
        </w:rPr>
      </w:pPr>
      <w:r w:rsidRPr="00600807">
        <w:rPr>
          <w:rFonts w:ascii="Arial" w:hAnsi="Arial" w:cs="Arial"/>
        </w:rPr>
        <w:t xml:space="preserve">CQC is the independent regulator of health and social care in England. Its purpose is to make sure health and care services provide people with safe, effective, compassionate, high-quality care and to encourage them to improve. CQC was established under the Health and Social Care Act 2008. CQC is independent but reports to Parliament through the Department of Health and Social Care. CQC works with other regulators, local authorities and commissioning groups, health and social care organisations, and organisations that represent people who use services, including the Healthwatch network. </w:t>
      </w:r>
    </w:p>
    <w:p w14:paraId="4C1ED17F" w14:textId="107503C5" w:rsidR="000174CE" w:rsidRPr="00600807" w:rsidRDefault="000174CE" w:rsidP="00484A9F">
      <w:pPr>
        <w:rPr>
          <w:rFonts w:ascii="Arial" w:hAnsi="Arial" w:cs="Arial"/>
        </w:rPr>
      </w:pPr>
    </w:p>
    <w:p w14:paraId="25B49299" w14:textId="138F649D" w:rsidR="000174CE" w:rsidRPr="00600807" w:rsidRDefault="000174CE" w:rsidP="0030415F">
      <w:pPr>
        <w:pStyle w:val="ListParagraph"/>
        <w:numPr>
          <w:ilvl w:val="0"/>
          <w:numId w:val="4"/>
        </w:numPr>
        <w:rPr>
          <w:rFonts w:ascii="Arial" w:hAnsi="Arial" w:cs="Arial"/>
        </w:rPr>
      </w:pPr>
      <w:r w:rsidRPr="00600807">
        <w:rPr>
          <w:rFonts w:ascii="Arial" w:hAnsi="Arial" w:cs="Arial"/>
        </w:rPr>
        <w:t>NHS</w:t>
      </w:r>
      <w:r w:rsidR="1448015B" w:rsidRPr="00600807">
        <w:rPr>
          <w:rFonts w:ascii="Arial" w:hAnsi="Arial" w:cs="Arial"/>
        </w:rPr>
        <w:t xml:space="preserve"> </w:t>
      </w:r>
      <w:r w:rsidRPr="00600807">
        <w:rPr>
          <w:rFonts w:ascii="Arial" w:hAnsi="Arial" w:cs="Arial"/>
        </w:rPr>
        <w:t>R</w:t>
      </w:r>
      <w:r w:rsidR="1448015B" w:rsidRPr="00600807">
        <w:rPr>
          <w:rFonts w:ascii="Arial" w:hAnsi="Arial" w:cs="Arial"/>
        </w:rPr>
        <w:t>esolution</w:t>
      </w:r>
      <w:r w:rsidR="00853772" w:rsidRPr="00600807">
        <w:rPr>
          <w:rFonts w:ascii="Arial" w:hAnsi="Arial" w:cs="Arial"/>
        </w:rPr>
        <w:t xml:space="preserve"> </w:t>
      </w:r>
      <w:r w:rsidRPr="00600807">
        <w:rPr>
          <w:rFonts w:ascii="Arial" w:hAnsi="Arial" w:cs="Arial"/>
        </w:rPr>
        <w:t>is an arm’s-length body of the Department of Health and Social Care</w:t>
      </w:r>
      <w:r w:rsidR="007C34EC" w:rsidRPr="00600807">
        <w:rPr>
          <w:rFonts w:ascii="Arial" w:hAnsi="Arial" w:cs="Arial"/>
        </w:rPr>
        <w:t xml:space="preserve">, </w:t>
      </w:r>
      <w:r w:rsidR="002052A7" w:rsidRPr="00600807">
        <w:rPr>
          <w:rFonts w:ascii="Arial" w:hAnsi="Arial" w:cs="Arial"/>
        </w:rPr>
        <w:t xml:space="preserve">providing </w:t>
      </w:r>
      <w:r w:rsidRPr="00600807">
        <w:rPr>
          <w:rFonts w:ascii="Arial" w:hAnsi="Arial" w:cs="Arial"/>
        </w:rPr>
        <w:t xml:space="preserve">expertise to the NHS on resolving concerns and disputes fairly, sharing learning for improvement and preserving resources for patient care. </w:t>
      </w:r>
      <w:r w:rsidR="004D1472" w:rsidRPr="00600807">
        <w:rPr>
          <w:rFonts w:ascii="Arial" w:hAnsi="Arial" w:cs="Arial"/>
        </w:rPr>
        <w:t xml:space="preserve"> Its </w:t>
      </w:r>
      <w:r w:rsidRPr="00600807">
        <w:rPr>
          <w:rFonts w:ascii="Arial" w:hAnsi="Arial" w:cs="Arial"/>
        </w:rPr>
        <w:t xml:space="preserve">main functions are: </w:t>
      </w:r>
    </w:p>
    <w:p w14:paraId="526F2A70" w14:textId="77777777" w:rsidR="000174CE" w:rsidRPr="00600807" w:rsidRDefault="000174CE" w:rsidP="00484A9F">
      <w:pPr>
        <w:rPr>
          <w:rFonts w:ascii="Arial" w:hAnsi="Arial" w:cs="Arial"/>
        </w:rPr>
      </w:pPr>
    </w:p>
    <w:p w14:paraId="1B68AF1B" w14:textId="3212578A" w:rsidR="000174CE" w:rsidRPr="00600807" w:rsidRDefault="000174CE" w:rsidP="0030415F">
      <w:pPr>
        <w:pStyle w:val="ListParagraph"/>
        <w:numPr>
          <w:ilvl w:val="0"/>
          <w:numId w:val="1"/>
        </w:numPr>
        <w:rPr>
          <w:rFonts w:ascii="Arial" w:hAnsi="Arial" w:cs="Arial"/>
        </w:rPr>
      </w:pPr>
      <w:r w:rsidRPr="00600807">
        <w:rPr>
          <w:rFonts w:ascii="Arial" w:hAnsi="Arial" w:cs="Arial"/>
        </w:rPr>
        <w:t xml:space="preserve">Claims Management: dealing with claims for compensation on behalf of the NHS in England. The bulk </w:t>
      </w:r>
      <w:r w:rsidR="002C7BDD" w:rsidRPr="00600807">
        <w:rPr>
          <w:rFonts w:ascii="Arial" w:hAnsi="Arial" w:cs="Arial"/>
        </w:rPr>
        <w:t>of its</w:t>
      </w:r>
      <w:r w:rsidRPr="00600807">
        <w:rPr>
          <w:rFonts w:ascii="Arial" w:hAnsi="Arial" w:cs="Arial"/>
        </w:rPr>
        <w:t xml:space="preserve"> workload is handling negligence claims on behalf of the members </w:t>
      </w:r>
      <w:r w:rsidR="00BF6591" w:rsidRPr="00600807">
        <w:rPr>
          <w:rFonts w:ascii="Arial" w:hAnsi="Arial" w:cs="Arial"/>
        </w:rPr>
        <w:t xml:space="preserve">and beneficiaries </w:t>
      </w:r>
      <w:r w:rsidRPr="00600807">
        <w:rPr>
          <w:rFonts w:ascii="Arial" w:hAnsi="Arial" w:cs="Arial"/>
        </w:rPr>
        <w:t xml:space="preserve">of </w:t>
      </w:r>
      <w:r w:rsidR="00FB693F" w:rsidRPr="00600807">
        <w:rPr>
          <w:rFonts w:ascii="Arial" w:hAnsi="Arial" w:cs="Arial"/>
        </w:rPr>
        <w:t xml:space="preserve">its </w:t>
      </w:r>
      <w:r w:rsidRPr="00600807">
        <w:rPr>
          <w:rFonts w:ascii="Arial" w:hAnsi="Arial" w:cs="Arial"/>
        </w:rPr>
        <w:t xml:space="preserve">indemnity schemes: NHS organisations and independent sector providers of NHS care in England and since April 2019, beneficiaries of state-backed indemnity for general practice; </w:t>
      </w:r>
    </w:p>
    <w:p w14:paraId="1A126924" w14:textId="77777777" w:rsidR="000174CE" w:rsidRPr="00600807" w:rsidRDefault="000174CE" w:rsidP="00D52C0E">
      <w:pPr>
        <w:ind w:left="360"/>
        <w:rPr>
          <w:rFonts w:ascii="Arial" w:hAnsi="Arial" w:cs="Arial"/>
        </w:rPr>
      </w:pPr>
    </w:p>
    <w:p w14:paraId="4F5844BF" w14:textId="1358A9B4" w:rsidR="000174CE" w:rsidRPr="00600807" w:rsidRDefault="000174CE" w:rsidP="0030415F">
      <w:pPr>
        <w:pStyle w:val="ListParagraph"/>
        <w:numPr>
          <w:ilvl w:val="0"/>
          <w:numId w:val="1"/>
        </w:numPr>
        <w:rPr>
          <w:rFonts w:ascii="Arial" w:hAnsi="Arial" w:cs="Arial"/>
        </w:rPr>
      </w:pPr>
      <w:r w:rsidRPr="00600807">
        <w:rPr>
          <w:rFonts w:ascii="Arial" w:hAnsi="Arial" w:cs="Arial"/>
        </w:rPr>
        <w:t xml:space="preserve">Practitioner Performance Advice: </w:t>
      </w:r>
      <w:r w:rsidR="007C34EC" w:rsidRPr="00600807">
        <w:rPr>
          <w:rFonts w:ascii="Arial" w:hAnsi="Arial" w:cs="Arial"/>
        </w:rPr>
        <w:t xml:space="preserve">providing independent, expert advice to healthcare organisations on the fair and effective </w:t>
      </w:r>
      <w:r w:rsidRPr="00600807">
        <w:rPr>
          <w:rFonts w:ascii="Arial" w:hAnsi="Arial" w:cs="Arial"/>
        </w:rPr>
        <w:t>manag</w:t>
      </w:r>
      <w:r w:rsidR="007C34EC" w:rsidRPr="00600807">
        <w:rPr>
          <w:rFonts w:ascii="Arial" w:hAnsi="Arial" w:cs="Arial"/>
        </w:rPr>
        <w:t xml:space="preserve">ement and resolution of </w:t>
      </w:r>
      <w:r w:rsidRPr="00600807">
        <w:rPr>
          <w:rFonts w:ascii="Arial" w:hAnsi="Arial" w:cs="Arial"/>
        </w:rPr>
        <w:t xml:space="preserve">concerns about the performance of doctors, dentists and pharmacists; </w:t>
      </w:r>
    </w:p>
    <w:p w14:paraId="085235D9" w14:textId="77777777" w:rsidR="000174CE" w:rsidRPr="00600807" w:rsidRDefault="000174CE" w:rsidP="00D52C0E">
      <w:pPr>
        <w:ind w:left="360"/>
        <w:rPr>
          <w:rFonts w:ascii="Arial" w:hAnsi="Arial" w:cs="Arial"/>
        </w:rPr>
      </w:pPr>
    </w:p>
    <w:p w14:paraId="54E86CDE" w14:textId="26089BFB" w:rsidR="000174CE" w:rsidRPr="00600807" w:rsidRDefault="000174CE" w:rsidP="0030415F">
      <w:pPr>
        <w:pStyle w:val="ListParagraph"/>
        <w:numPr>
          <w:ilvl w:val="0"/>
          <w:numId w:val="1"/>
        </w:numPr>
        <w:rPr>
          <w:rFonts w:ascii="Arial" w:hAnsi="Arial" w:cs="Arial"/>
        </w:rPr>
      </w:pPr>
      <w:r w:rsidRPr="00600807">
        <w:rPr>
          <w:rFonts w:ascii="Arial" w:hAnsi="Arial" w:cs="Arial"/>
        </w:rPr>
        <w:t xml:space="preserve">Primary Care Appeals: </w:t>
      </w:r>
      <w:r w:rsidR="007C34EC" w:rsidRPr="00600807">
        <w:rPr>
          <w:rFonts w:ascii="Arial" w:hAnsi="Arial" w:cs="Arial"/>
        </w:rPr>
        <w:t xml:space="preserve">ensuring the prompt and fair resolution of </w:t>
      </w:r>
      <w:r w:rsidRPr="00600807">
        <w:rPr>
          <w:rFonts w:ascii="Arial" w:hAnsi="Arial" w:cs="Arial"/>
        </w:rPr>
        <w:t>appeals and disputes between primary care contractors</w:t>
      </w:r>
      <w:r w:rsidR="007C34EC" w:rsidRPr="00600807">
        <w:rPr>
          <w:rFonts w:ascii="Arial" w:hAnsi="Arial" w:cs="Arial"/>
        </w:rPr>
        <w:t>,</w:t>
      </w:r>
      <w:r w:rsidRPr="00600807">
        <w:rPr>
          <w:rFonts w:ascii="Arial" w:hAnsi="Arial" w:cs="Arial"/>
        </w:rPr>
        <w:t xml:space="preserve"> </w:t>
      </w:r>
      <w:r w:rsidR="007C34EC" w:rsidRPr="00600807">
        <w:rPr>
          <w:rFonts w:ascii="Arial" w:hAnsi="Arial" w:cs="Arial"/>
        </w:rPr>
        <w:t xml:space="preserve">or those wishing to provide primary care services, and the commissioners of primary care services, such as </w:t>
      </w:r>
      <w:r w:rsidRPr="00600807">
        <w:rPr>
          <w:rFonts w:ascii="Arial" w:hAnsi="Arial" w:cs="Arial"/>
        </w:rPr>
        <w:t>NHS England</w:t>
      </w:r>
      <w:r w:rsidR="007C34EC" w:rsidRPr="00600807">
        <w:rPr>
          <w:rFonts w:ascii="Arial" w:hAnsi="Arial" w:cs="Arial"/>
        </w:rPr>
        <w:t xml:space="preserve"> and NHS Improvement and Clinical Commissioning Group</w:t>
      </w:r>
      <w:r w:rsidR="00C03984" w:rsidRPr="00600807">
        <w:rPr>
          <w:rFonts w:ascii="Arial" w:hAnsi="Arial" w:cs="Arial"/>
        </w:rPr>
        <w:t>s</w:t>
      </w:r>
      <w:r w:rsidRPr="00600807">
        <w:rPr>
          <w:rFonts w:ascii="Arial" w:hAnsi="Arial" w:cs="Arial"/>
        </w:rPr>
        <w:t xml:space="preserve">; and </w:t>
      </w:r>
    </w:p>
    <w:p w14:paraId="73A572D6" w14:textId="77777777" w:rsidR="000174CE" w:rsidRPr="00600807" w:rsidRDefault="000174CE" w:rsidP="00D52C0E">
      <w:pPr>
        <w:ind w:left="360"/>
        <w:rPr>
          <w:rFonts w:ascii="Arial" w:hAnsi="Arial" w:cs="Arial"/>
        </w:rPr>
      </w:pPr>
    </w:p>
    <w:p w14:paraId="735AFA46" w14:textId="3E0DF564" w:rsidR="00800FA1" w:rsidRPr="008D33FC" w:rsidRDefault="000174CE" w:rsidP="008D33FC">
      <w:pPr>
        <w:pStyle w:val="ListParagraph"/>
        <w:numPr>
          <w:ilvl w:val="0"/>
          <w:numId w:val="1"/>
        </w:numPr>
        <w:rPr>
          <w:rFonts w:ascii="Arial" w:hAnsi="Arial" w:cs="Arial"/>
        </w:rPr>
      </w:pPr>
      <w:r w:rsidRPr="00600807">
        <w:rPr>
          <w:rFonts w:ascii="Arial" w:hAnsi="Arial" w:cs="Arial"/>
        </w:rPr>
        <w:t>Safety and Learning: helping providers of NHS care to understand their own claims risk profiles to target safety activity and share learning across the health service in England</w:t>
      </w:r>
      <w:r w:rsidR="00C03984" w:rsidRPr="00600807">
        <w:rPr>
          <w:rFonts w:ascii="Arial" w:hAnsi="Arial" w:cs="Arial"/>
        </w:rPr>
        <w:t>.</w:t>
      </w:r>
      <w:r w:rsidRPr="00600807">
        <w:rPr>
          <w:rFonts w:ascii="Arial" w:hAnsi="Arial" w:cs="Arial"/>
        </w:rPr>
        <w:t xml:space="preserve"> </w:t>
      </w:r>
    </w:p>
    <w:p w14:paraId="3D43F6AC" w14:textId="77777777" w:rsidR="00800FA1" w:rsidRPr="00600807" w:rsidRDefault="00800FA1" w:rsidP="00800FA1">
      <w:pPr>
        <w:pStyle w:val="ListParagraph"/>
        <w:rPr>
          <w:rFonts w:ascii="Arial" w:hAnsi="Arial" w:cs="Arial"/>
        </w:rPr>
      </w:pPr>
    </w:p>
    <w:p w14:paraId="1AF47E24" w14:textId="3BB41154" w:rsidR="00E4109B" w:rsidRDefault="00BA2573" w:rsidP="00484A9F">
      <w:pPr>
        <w:rPr>
          <w:rFonts w:ascii="Arial" w:hAnsi="Arial" w:cs="Arial"/>
        </w:rPr>
      </w:pPr>
      <w:r w:rsidRPr="00600807">
        <w:rPr>
          <w:rFonts w:ascii="Arial" w:hAnsi="Arial" w:cs="Arial"/>
        </w:rPr>
        <w:t>All of this activity gives NHS Resolution a unique perspective on the causes of claims, performance concerns and contracting disputes in the NHS in England which we use to provide insights</w:t>
      </w:r>
      <w:r w:rsidR="00CE08AC" w:rsidRPr="00600807">
        <w:rPr>
          <w:rFonts w:ascii="Arial" w:hAnsi="Arial" w:cs="Arial"/>
        </w:rPr>
        <w:t xml:space="preserve"> and feedback</w:t>
      </w:r>
      <w:r w:rsidRPr="00600807">
        <w:rPr>
          <w:rFonts w:ascii="Arial" w:hAnsi="Arial" w:cs="Arial"/>
        </w:rPr>
        <w:t xml:space="preserve"> to the NHS to help to improve safety and manage risk. </w:t>
      </w:r>
    </w:p>
    <w:p w14:paraId="06099604" w14:textId="77777777" w:rsidR="008D33FC" w:rsidRPr="00D52C0E" w:rsidRDefault="008D33FC" w:rsidP="00484A9F">
      <w:pPr>
        <w:rPr>
          <w:rFonts w:ascii="Arial" w:hAnsi="Arial" w:cs="Arial"/>
        </w:rPr>
      </w:pPr>
    </w:p>
    <w:p w14:paraId="54A1158C" w14:textId="557F38A2" w:rsidR="00BA2573" w:rsidRDefault="007429A8" w:rsidP="0030415F">
      <w:pPr>
        <w:pStyle w:val="ListParagraph"/>
        <w:numPr>
          <w:ilvl w:val="0"/>
          <w:numId w:val="4"/>
        </w:numPr>
        <w:rPr>
          <w:rFonts w:ascii="Arial" w:hAnsi="Arial" w:cs="Arial"/>
        </w:rPr>
      </w:pPr>
      <w:r w:rsidRPr="00D52C0E">
        <w:rPr>
          <w:rFonts w:ascii="Arial" w:hAnsi="Arial" w:cs="Arial"/>
        </w:rPr>
        <w:t xml:space="preserve">The responsibilities and functions of CQC and </w:t>
      </w:r>
      <w:r w:rsidR="009D5656" w:rsidRPr="00D52C0E">
        <w:rPr>
          <w:rFonts w:ascii="Arial" w:hAnsi="Arial" w:cs="Arial"/>
        </w:rPr>
        <w:t>NHS</w:t>
      </w:r>
      <w:r w:rsidR="00EB2A12">
        <w:rPr>
          <w:rFonts w:ascii="Arial" w:hAnsi="Arial" w:cs="Arial"/>
        </w:rPr>
        <w:t xml:space="preserve"> </w:t>
      </w:r>
      <w:r w:rsidR="003315C9" w:rsidRPr="00D52C0E">
        <w:rPr>
          <w:rFonts w:ascii="Arial" w:hAnsi="Arial" w:cs="Arial"/>
        </w:rPr>
        <w:t>R</w:t>
      </w:r>
      <w:r w:rsidR="00EB2A12">
        <w:rPr>
          <w:rFonts w:ascii="Arial" w:hAnsi="Arial" w:cs="Arial"/>
        </w:rPr>
        <w:t>esolution</w:t>
      </w:r>
      <w:r w:rsidR="00DC5817" w:rsidRPr="00D52C0E">
        <w:rPr>
          <w:rFonts w:ascii="Arial" w:hAnsi="Arial" w:cs="Arial"/>
        </w:rPr>
        <w:t xml:space="preserve"> </w:t>
      </w:r>
      <w:r w:rsidRPr="00D52C0E">
        <w:rPr>
          <w:rFonts w:ascii="Arial" w:hAnsi="Arial" w:cs="Arial"/>
        </w:rPr>
        <w:t xml:space="preserve">are set out in </w:t>
      </w:r>
      <w:r w:rsidR="00B90100" w:rsidRPr="00D52C0E">
        <w:rPr>
          <w:rFonts w:ascii="Arial" w:hAnsi="Arial" w:cs="Arial"/>
        </w:rPr>
        <w:t xml:space="preserve">more detail in </w:t>
      </w:r>
      <w:r w:rsidRPr="00D52C0E">
        <w:rPr>
          <w:rFonts w:ascii="Arial" w:hAnsi="Arial" w:cs="Arial"/>
          <w:b/>
          <w:bCs/>
        </w:rPr>
        <w:t>Annex 1</w:t>
      </w:r>
      <w:r w:rsidRPr="00D52C0E">
        <w:rPr>
          <w:rFonts w:ascii="Arial" w:hAnsi="Arial" w:cs="Arial"/>
        </w:rPr>
        <w:t xml:space="preserve">. </w:t>
      </w:r>
      <w:r w:rsidR="001A68E0" w:rsidRPr="00D52C0E">
        <w:rPr>
          <w:rFonts w:ascii="Arial" w:hAnsi="Arial" w:cs="Arial"/>
        </w:rPr>
        <w:t xml:space="preserve">Each organisation </w:t>
      </w:r>
      <w:r w:rsidR="007E7CBF" w:rsidRPr="00D52C0E">
        <w:rPr>
          <w:rFonts w:ascii="Arial" w:hAnsi="Arial" w:cs="Arial"/>
        </w:rPr>
        <w:t>has</w:t>
      </w:r>
      <w:r w:rsidR="001A68E0" w:rsidRPr="00D52C0E">
        <w:rPr>
          <w:rFonts w:ascii="Arial" w:hAnsi="Arial" w:cs="Arial"/>
        </w:rPr>
        <w:t xml:space="preserve"> different roles within the health and social care landscape</w:t>
      </w:r>
      <w:r w:rsidR="00BE65BA">
        <w:rPr>
          <w:rFonts w:ascii="Arial" w:hAnsi="Arial" w:cs="Arial"/>
        </w:rPr>
        <w:t xml:space="preserve"> </w:t>
      </w:r>
      <w:r w:rsidR="001A68E0" w:rsidRPr="00D52C0E">
        <w:rPr>
          <w:rFonts w:ascii="Arial" w:hAnsi="Arial" w:cs="Arial"/>
        </w:rPr>
        <w:t xml:space="preserve">but </w:t>
      </w:r>
      <w:r w:rsidR="00B90100" w:rsidRPr="00D52C0E">
        <w:rPr>
          <w:rFonts w:ascii="Arial" w:hAnsi="Arial" w:cs="Arial"/>
        </w:rPr>
        <w:t xml:space="preserve">have a shared role in </w:t>
      </w:r>
      <w:r w:rsidRPr="00D52C0E">
        <w:rPr>
          <w:rFonts w:ascii="Arial" w:hAnsi="Arial" w:cs="Arial"/>
        </w:rPr>
        <w:t>encourag</w:t>
      </w:r>
      <w:r w:rsidR="00B90100" w:rsidRPr="00D52C0E">
        <w:rPr>
          <w:rFonts w:ascii="Arial" w:hAnsi="Arial" w:cs="Arial"/>
        </w:rPr>
        <w:t>ing</w:t>
      </w:r>
      <w:r w:rsidRPr="00D52C0E">
        <w:rPr>
          <w:rFonts w:ascii="Arial" w:hAnsi="Arial" w:cs="Arial"/>
        </w:rPr>
        <w:t xml:space="preserve"> and promot</w:t>
      </w:r>
      <w:r w:rsidR="00B90100" w:rsidRPr="00D52C0E">
        <w:rPr>
          <w:rFonts w:ascii="Arial" w:hAnsi="Arial" w:cs="Arial"/>
        </w:rPr>
        <w:t>ing</w:t>
      </w:r>
      <w:r w:rsidRPr="00D52C0E">
        <w:rPr>
          <w:rFonts w:ascii="Arial" w:hAnsi="Arial" w:cs="Arial"/>
        </w:rPr>
        <w:t xml:space="preserve"> patient safety and quality</w:t>
      </w:r>
      <w:r w:rsidR="00337C15" w:rsidRPr="00D52C0E">
        <w:rPr>
          <w:rFonts w:ascii="Arial" w:hAnsi="Arial" w:cs="Arial"/>
        </w:rPr>
        <w:t xml:space="preserve"> of care</w:t>
      </w:r>
      <w:r w:rsidRPr="00D52C0E">
        <w:rPr>
          <w:rFonts w:ascii="Arial" w:hAnsi="Arial" w:cs="Arial"/>
        </w:rPr>
        <w:t>.</w:t>
      </w:r>
      <w:r w:rsidR="00BA2573">
        <w:rPr>
          <w:rFonts w:ascii="Arial" w:hAnsi="Arial" w:cs="Arial"/>
        </w:rPr>
        <w:t xml:space="preserve"> Key areas of strategic alignment include: </w:t>
      </w:r>
    </w:p>
    <w:p w14:paraId="72528EC9" w14:textId="16583BF4" w:rsidR="00784D2F" w:rsidRDefault="00E12911" w:rsidP="0030415F">
      <w:pPr>
        <w:pStyle w:val="ListParagraph"/>
        <w:numPr>
          <w:ilvl w:val="1"/>
          <w:numId w:val="4"/>
        </w:numPr>
        <w:rPr>
          <w:rFonts w:ascii="Arial" w:hAnsi="Arial" w:cs="Arial"/>
        </w:rPr>
      </w:pPr>
      <w:r>
        <w:rPr>
          <w:rFonts w:ascii="Arial" w:hAnsi="Arial" w:cs="Arial"/>
        </w:rPr>
        <w:lastRenderedPageBreak/>
        <w:t>Improving</w:t>
      </w:r>
      <w:r w:rsidR="00784D2F">
        <w:rPr>
          <w:rFonts w:ascii="Arial" w:hAnsi="Arial" w:cs="Arial"/>
        </w:rPr>
        <w:t xml:space="preserve"> safety cultures in the NHS</w:t>
      </w:r>
      <w:r>
        <w:rPr>
          <w:rFonts w:ascii="Arial" w:hAnsi="Arial" w:cs="Arial"/>
        </w:rPr>
        <w:t xml:space="preserve"> and </w:t>
      </w:r>
      <w:r w:rsidR="00784D2F">
        <w:rPr>
          <w:rFonts w:ascii="Arial" w:hAnsi="Arial" w:cs="Arial"/>
        </w:rPr>
        <w:t xml:space="preserve">sharing good practice; </w:t>
      </w:r>
    </w:p>
    <w:p w14:paraId="6A6239C1" w14:textId="3654DAA5" w:rsidR="00BA2573" w:rsidRDefault="00784D2F" w:rsidP="0030415F">
      <w:pPr>
        <w:pStyle w:val="ListParagraph"/>
        <w:numPr>
          <w:ilvl w:val="1"/>
          <w:numId w:val="4"/>
        </w:numPr>
        <w:rPr>
          <w:rFonts w:ascii="Arial" w:hAnsi="Arial" w:cs="Arial"/>
        </w:rPr>
      </w:pPr>
      <w:r>
        <w:rPr>
          <w:rFonts w:ascii="Arial" w:hAnsi="Arial" w:cs="Arial"/>
        </w:rPr>
        <w:t xml:space="preserve">Making </w:t>
      </w:r>
      <w:r w:rsidR="00BA2573">
        <w:rPr>
          <w:rFonts w:ascii="Arial" w:hAnsi="Arial" w:cs="Arial"/>
        </w:rPr>
        <w:t>more effective use of data</w:t>
      </w:r>
      <w:r w:rsidR="00E12911">
        <w:rPr>
          <w:rFonts w:ascii="Arial" w:hAnsi="Arial" w:cs="Arial"/>
        </w:rPr>
        <w:t xml:space="preserve"> including the lawful </w:t>
      </w:r>
      <w:r>
        <w:rPr>
          <w:rFonts w:ascii="Arial" w:hAnsi="Arial" w:cs="Arial"/>
        </w:rPr>
        <w:t xml:space="preserve">sharing with others where it will help </w:t>
      </w:r>
      <w:r w:rsidR="00E12911">
        <w:rPr>
          <w:rFonts w:ascii="Arial" w:hAnsi="Arial" w:cs="Arial"/>
        </w:rPr>
        <w:t xml:space="preserve">to </w:t>
      </w:r>
      <w:r>
        <w:rPr>
          <w:rFonts w:ascii="Arial" w:hAnsi="Arial" w:cs="Arial"/>
        </w:rPr>
        <w:t>improve patient care;</w:t>
      </w:r>
    </w:p>
    <w:p w14:paraId="14DC30D5" w14:textId="6BB08B13" w:rsidR="00BA2573" w:rsidRDefault="00784D2F" w:rsidP="0030415F">
      <w:pPr>
        <w:pStyle w:val="ListParagraph"/>
        <w:numPr>
          <w:ilvl w:val="1"/>
          <w:numId w:val="4"/>
        </w:numPr>
        <w:rPr>
          <w:rFonts w:ascii="Arial" w:hAnsi="Arial" w:cs="Arial"/>
        </w:rPr>
      </w:pPr>
      <w:r>
        <w:rPr>
          <w:rFonts w:ascii="Arial" w:hAnsi="Arial" w:cs="Arial"/>
        </w:rPr>
        <w:t>D</w:t>
      </w:r>
      <w:r w:rsidR="00BA2573">
        <w:rPr>
          <w:rFonts w:ascii="Arial" w:hAnsi="Arial" w:cs="Arial"/>
        </w:rPr>
        <w:t>eliver</w:t>
      </w:r>
      <w:r>
        <w:rPr>
          <w:rFonts w:ascii="Arial" w:hAnsi="Arial" w:cs="Arial"/>
        </w:rPr>
        <w:t>ing</w:t>
      </w:r>
      <w:r w:rsidR="00BA2573">
        <w:rPr>
          <w:rFonts w:ascii="Arial" w:hAnsi="Arial" w:cs="Arial"/>
        </w:rPr>
        <w:t xml:space="preserve"> </w:t>
      </w:r>
      <w:r w:rsidR="00BA2573" w:rsidRPr="00BA2573">
        <w:rPr>
          <w:rFonts w:ascii="Arial" w:hAnsi="Arial" w:cs="Arial"/>
        </w:rPr>
        <w:t xml:space="preserve">effective services to the new structures </w:t>
      </w:r>
      <w:r>
        <w:rPr>
          <w:rFonts w:ascii="Arial" w:hAnsi="Arial" w:cs="Arial"/>
        </w:rPr>
        <w:t xml:space="preserve">and systems </w:t>
      </w:r>
      <w:r w:rsidR="00BA2573" w:rsidRPr="00BA2573">
        <w:rPr>
          <w:rFonts w:ascii="Arial" w:hAnsi="Arial" w:cs="Arial"/>
        </w:rPr>
        <w:t>envisaged by the Health and Care Bill</w:t>
      </w:r>
      <w:r w:rsidR="00E12911">
        <w:rPr>
          <w:rFonts w:ascii="Arial" w:hAnsi="Arial" w:cs="Arial"/>
        </w:rPr>
        <w:t xml:space="preserve">; </w:t>
      </w:r>
    </w:p>
    <w:p w14:paraId="0FAC174C" w14:textId="04895FA4" w:rsidR="00E12911" w:rsidRDefault="00E12911" w:rsidP="0030415F">
      <w:pPr>
        <w:pStyle w:val="ListParagraph"/>
        <w:numPr>
          <w:ilvl w:val="1"/>
          <w:numId w:val="4"/>
        </w:numPr>
        <w:rPr>
          <w:rFonts w:ascii="Arial" w:hAnsi="Arial" w:cs="Arial"/>
        </w:rPr>
      </w:pPr>
      <w:r>
        <w:rPr>
          <w:rFonts w:ascii="Arial" w:hAnsi="Arial" w:cs="Arial"/>
        </w:rPr>
        <w:t xml:space="preserve">Considering the impact of new innovations and technology on healthcare; and </w:t>
      </w:r>
    </w:p>
    <w:p w14:paraId="2E6DFCCB" w14:textId="5DE87853" w:rsidR="00784D2F" w:rsidRDefault="00784D2F" w:rsidP="0030415F">
      <w:pPr>
        <w:pStyle w:val="ListParagraph"/>
        <w:numPr>
          <w:ilvl w:val="1"/>
          <w:numId w:val="4"/>
        </w:numPr>
        <w:rPr>
          <w:rFonts w:ascii="Arial" w:hAnsi="Arial" w:cs="Arial"/>
        </w:rPr>
      </w:pPr>
      <w:r>
        <w:rPr>
          <w:rFonts w:ascii="Arial" w:hAnsi="Arial" w:cs="Arial"/>
        </w:rPr>
        <w:t>Equality, diversity and inclusion</w:t>
      </w:r>
      <w:r w:rsidR="00E12911">
        <w:rPr>
          <w:rFonts w:ascii="Arial" w:hAnsi="Arial" w:cs="Arial"/>
        </w:rPr>
        <w:t xml:space="preserve">. </w:t>
      </w:r>
    </w:p>
    <w:p w14:paraId="73995835" w14:textId="77777777" w:rsidR="00BA2573" w:rsidRPr="00BA2573" w:rsidRDefault="00BA2573" w:rsidP="00E12911">
      <w:pPr>
        <w:pStyle w:val="ListParagraph"/>
        <w:ind w:left="1080"/>
        <w:rPr>
          <w:rFonts w:ascii="Arial" w:hAnsi="Arial" w:cs="Arial"/>
        </w:rPr>
      </w:pPr>
    </w:p>
    <w:p w14:paraId="7FE4C64B" w14:textId="69995DE5" w:rsidR="00FA16CF" w:rsidRPr="008D33FC" w:rsidRDefault="007429A8" w:rsidP="00484A9F">
      <w:pPr>
        <w:pStyle w:val="ListParagraph"/>
        <w:numPr>
          <w:ilvl w:val="0"/>
          <w:numId w:val="4"/>
        </w:numPr>
        <w:rPr>
          <w:rFonts w:ascii="Arial" w:hAnsi="Arial" w:cs="Arial"/>
        </w:rPr>
      </w:pPr>
      <w:r w:rsidRPr="00D52C0E">
        <w:rPr>
          <w:rFonts w:ascii="Arial" w:hAnsi="Arial" w:cs="Arial"/>
        </w:rPr>
        <w:t xml:space="preserve">This MoU does not override the statutory responsibilities and functions of CQC and </w:t>
      </w:r>
      <w:r w:rsidR="00FE5046" w:rsidRPr="00D52C0E">
        <w:rPr>
          <w:rFonts w:ascii="Arial" w:hAnsi="Arial" w:cs="Arial"/>
        </w:rPr>
        <w:t>NHS</w:t>
      </w:r>
      <w:r w:rsidR="00800FA1">
        <w:rPr>
          <w:rFonts w:ascii="Arial" w:hAnsi="Arial" w:cs="Arial"/>
        </w:rPr>
        <w:t xml:space="preserve"> </w:t>
      </w:r>
      <w:r w:rsidR="00FE5046" w:rsidRPr="00D52C0E">
        <w:rPr>
          <w:rFonts w:ascii="Arial" w:hAnsi="Arial" w:cs="Arial"/>
        </w:rPr>
        <w:t>R</w:t>
      </w:r>
      <w:r w:rsidR="00800FA1">
        <w:rPr>
          <w:rFonts w:ascii="Arial" w:hAnsi="Arial" w:cs="Arial"/>
        </w:rPr>
        <w:t>esolution</w:t>
      </w:r>
      <w:r w:rsidR="00FE5046" w:rsidRPr="00D52C0E">
        <w:rPr>
          <w:rFonts w:ascii="Arial" w:hAnsi="Arial" w:cs="Arial"/>
        </w:rPr>
        <w:t xml:space="preserve"> and</w:t>
      </w:r>
      <w:r w:rsidRPr="00D52C0E">
        <w:rPr>
          <w:rFonts w:ascii="Arial" w:hAnsi="Arial" w:cs="Arial"/>
        </w:rPr>
        <w:t xml:space="preserve"> is not enforceable in law. However, CQC and </w:t>
      </w:r>
      <w:r w:rsidR="009D5656" w:rsidRPr="00D52C0E">
        <w:rPr>
          <w:rFonts w:ascii="Arial" w:hAnsi="Arial" w:cs="Arial"/>
        </w:rPr>
        <w:t>NHS</w:t>
      </w:r>
      <w:r w:rsidR="00800FA1">
        <w:rPr>
          <w:rFonts w:ascii="Arial" w:hAnsi="Arial" w:cs="Arial"/>
        </w:rPr>
        <w:t xml:space="preserve"> </w:t>
      </w:r>
      <w:r w:rsidR="00224583" w:rsidRPr="00D52C0E">
        <w:rPr>
          <w:rFonts w:ascii="Arial" w:hAnsi="Arial" w:cs="Arial"/>
        </w:rPr>
        <w:t>R</w:t>
      </w:r>
      <w:r w:rsidR="00800FA1">
        <w:rPr>
          <w:rFonts w:ascii="Arial" w:hAnsi="Arial" w:cs="Arial"/>
        </w:rPr>
        <w:t>esolution</w:t>
      </w:r>
      <w:r w:rsidR="00224583" w:rsidRPr="00D52C0E">
        <w:rPr>
          <w:rFonts w:ascii="Arial" w:hAnsi="Arial" w:cs="Arial"/>
        </w:rPr>
        <w:t xml:space="preserve"> </w:t>
      </w:r>
      <w:r w:rsidR="006A5440" w:rsidRPr="00D52C0E">
        <w:rPr>
          <w:rFonts w:ascii="Arial" w:hAnsi="Arial" w:cs="Arial"/>
        </w:rPr>
        <w:t>are</w:t>
      </w:r>
      <w:r w:rsidRPr="00D52C0E">
        <w:rPr>
          <w:rFonts w:ascii="Arial" w:hAnsi="Arial" w:cs="Arial"/>
        </w:rPr>
        <w:t xml:space="preserve"> committed to working in ways that are consistent with the principles of this MoU. </w:t>
      </w:r>
    </w:p>
    <w:p w14:paraId="394B171A" w14:textId="1B957C65" w:rsidR="00FA16CF" w:rsidRPr="00D52C0E" w:rsidRDefault="00FA16CF" w:rsidP="000A6647">
      <w:pPr>
        <w:pStyle w:val="Heading1"/>
      </w:pPr>
      <w:r w:rsidRPr="00D52C0E">
        <w:t xml:space="preserve">Principles of </w:t>
      </w:r>
      <w:r w:rsidR="006F02C9">
        <w:t>c</w:t>
      </w:r>
      <w:r w:rsidRPr="00D52C0E">
        <w:t>o-operation</w:t>
      </w:r>
    </w:p>
    <w:p w14:paraId="6835D01A" w14:textId="77777777" w:rsidR="00FA16CF" w:rsidRPr="00D52C0E" w:rsidRDefault="00FA16CF" w:rsidP="00484A9F">
      <w:pPr>
        <w:rPr>
          <w:rFonts w:ascii="Arial" w:hAnsi="Arial" w:cs="Arial"/>
        </w:rPr>
      </w:pPr>
    </w:p>
    <w:p w14:paraId="01D0D5B4" w14:textId="53E8FE92" w:rsidR="00BE65BA" w:rsidRDefault="007429A8" w:rsidP="00A73D9E">
      <w:pPr>
        <w:pStyle w:val="ListParagraph"/>
        <w:numPr>
          <w:ilvl w:val="0"/>
          <w:numId w:val="4"/>
        </w:numPr>
        <w:rPr>
          <w:rFonts w:ascii="Arial" w:hAnsi="Arial" w:cs="Arial"/>
        </w:rPr>
      </w:pPr>
      <w:r w:rsidRPr="00D52C0E">
        <w:rPr>
          <w:rFonts w:ascii="Arial" w:hAnsi="Arial" w:cs="Arial"/>
        </w:rPr>
        <w:t>This MoU is a statement of principle</w:t>
      </w:r>
      <w:r w:rsidR="00BE02F2">
        <w:rPr>
          <w:rFonts w:ascii="Arial" w:hAnsi="Arial" w:cs="Arial"/>
        </w:rPr>
        <w:t>s</w:t>
      </w:r>
      <w:r w:rsidR="00800FA1">
        <w:rPr>
          <w:rFonts w:ascii="Arial" w:hAnsi="Arial" w:cs="Arial"/>
        </w:rPr>
        <w:t xml:space="preserve"> </w:t>
      </w:r>
      <w:r w:rsidR="00800FA1" w:rsidRPr="00D52C0E">
        <w:rPr>
          <w:rFonts w:ascii="Arial" w:hAnsi="Arial" w:cs="Arial"/>
        </w:rPr>
        <w:t>wh</w:t>
      </w:r>
      <w:r w:rsidR="00800FA1">
        <w:rPr>
          <w:rFonts w:ascii="Arial" w:hAnsi="Arial" w:cs="Arial"/>
        </w:rPr>
        <w:t>i</w:t>
      </w:r>
      <w:r w:rsidRPr="00D52C0E">
        <w:rPr>
          <w:rFonts w:ascii="Arial" w:hAnsi="Arial" w:cs="Arial"/>
        </w:rPr>
        <w:t xml:space="preserve">ch supports our focus on promoting patient and public safety and wellbeing. More detailed operational protocols and guidance can be developed as required. </w:t>
      </w:r>
    </w:p>
    <w:p w14:paraId="639F5511" w14:textId="77777777" w:rsidR="00BE65BA" w:rsidRDefault="00BE65BA" w:rsidP="00A73D9E">
      <w:pPr>
        <w:pStyle w:val="ListParagraph"/>
        <w:ind w:left="360"/>
        <w:rPr>
          <w:rFonts w:ascii="Arial" w:hAnsi="Arial" w:cs="Arial"/>
        </w:rPr>
      </w:pPr>
    </w:p>
    <w:p w14:paraId="5379DDF0" w14:textId="55BC48C7" w:rsidR="001C0461" w:rsidRDefault="007429A8" w:rsidP="00A73D9E">
      <w:pPr>
        <w:pStyle w:val="ListParagraph"/>
        <w:numPr>
          <w:ilvl w:val="0"/>
          <w:numId w:val="4"/>
        </w:numPr>
        <w:rPr>
          <w:rFonts w:ascii="Arial" w:hAnsi="Arial" w:cs="Arial"/>
        </w:rPr>
      </w:pPr>
      <w:r w:rsidRPr="4B6CCCE2">
        <w:rPr>
          <w:rFonts w:ascii="Arial" w:hAnsi="Arial" w:cs="Arial"/>
        </w:rPr>
        <w:t xml:space="preserve">CQC and </w:t>
      </w:r>
      <w:r w:rsidR="009D5656" w:rsidRPr="4B6CCCE2">
        <w:rPr>
          <w:rFonts w:ascii="Arial" w:hAnsi="Arial" w:cs="Arial"/>
        </w:rPr>
        <w:t xml:space="preserve">NHS </w:t>
      </w:r>
      <w:r w:rsidR="00BE02F2" w:rsidRPr="4B6CCCE2">
        <w:rPr>
          <w:rFonts w:ascii="Arial" w:hAnsi="Arial" w:cs="Arial"/>
        </w:rPr>
        <w:t xml:space="preserve">Resolution </w:t>
      </w:r>
      <w:r w:rsidRPr="4B6CCCE2">
        <w:rPr>
          <w:rFonts w:ascii="Arial" w:hAnsi="Arial" w:cs="Arial"/>
        </w:rPr>
        <w:t>intend that their working relationship be characterised by the following principles</w:t>
      </w:r>
      <w:r w:rsidR="001C0461" w:rsidRPr="4B6CCCE2">
        <w:rPr>
          <w:rFonts w:ascii="Arial" w:hAnsi="Arial" w:cs="Arial"/>
        </w:rPr>
        <w:t xml:space="preserve"> which promote and drive improvements</w:t>
      </w:r>
      <w:r w:rsidR="001C0461" w:rsidRPr="0070793A">
        <w:rPr>
          <w:rFonts w:ascii="Arial" w:hAnsi="Arial" w:cs="Arial"/>
        </w:rPr>
        <w:t xml:space="preserve"> </w:t>
      </w:r>
      <w:r w:rsidR="003E10C2" w:rsidRPr="0070793A">
        <w:rPr>
          <w:rFonts w:ascii="Arial" w:hAnsi="Arial" w:cs="Arial"/>
        </w:rPr>
        <w:t>in</w:t>
      </w:r>
      <w:r w:rsidR="003E10C2" w:rsidRPr="4B6CCCE2">
        <w:rPr>
          <w:rFonts w:ascii="Arial" w:hAnsi="Arial" w:cs="Arial"/>
        </w:rPr>
        <w:t xml:space="preserve"> </w:t>
      </w:r>
      <w:r w:rsidR="001C0461" w:rsidRPr="4B6CCCE2">
        <w:rPr>
          <w:rFonts w:ascii="Arial" w:hAnsi="Arial" w:cs="Arial"/>
        </w:rPr>
        <w:t xml:space="preserve">the provision of patient safety and </w:t>
      </w:r>
      <w:r w:rsidR="003E10C2" w:rsidRPr="4B6CCCE2">
        <w:rPr>
          <w:rFonts w:ascii="Arial" w:hAnsi="Arial" w:cs="Arial"/>
        </w:rPr>
        <w:t>high-quality</w:t>
      </w:r>
      <w:r w:rsidR="001C0461" w:rsidRPr="4B6CCCE2">
        <w:rPr>
          <w:rFonts w:ascii="Arial" w:hAnsi="Arial" w:cs="Arial"/>
        </w:rPr>
        <w:t xml:space="preserve"> care</w:t>
      </w:r>
      <w:r w:rsidR="2F9E4455" w:rsidRPr="4B6CCCE2">
        <w:rPr>
          <w:rFonts w:ascii="Arial" w:hAnsi="Arial" w:cs="Arial"/>
        </w:rPr>
        <w:t>;</w:t>
      </w:r>
    </w:p>
    <w:p w14:paraId="3340EA04" w14:textId="77777777" w:rsidR="00B44E8E" w:rsidRPr="00B44E8E" w:rsidRDefault="00B44E8E" w:rsidP="00B44E8E">
      <w:pPr>
        <w:rPr>
          <w:rFonts w:ascii="Arial" w:hAnsi="Arial" w:cs="Arial"/>
        </w:rPr>
      </w:pPr>
    </w:p>
    <w:p w14:paraId="2371B733" w14:textId="49C3A541" w:rsidR="007429A8" w:rsidRDefault="007429A8" w:rsidP="0030415F">
      <w:pPr>
        <w:pStyle w:val="ListParagraph"/>
        <w:numPr>
          <w:ilvl w:val="0"/>
          <w:numId w:val="2"/>
        </w:numPr>
        <w:spacing w:after="120"/>
        <w:ind w:left="714" w:hanging="357"/>
        <w:contextualSpacing w:val="0"/>
        <w:rPr>
          <w:rFonts w:ascii="Arial" w:hAnsi="Arial" w:cs="Arial"/>
        </w:rPr>
      </w:pPr>
      <w:r w:rsidRPr="000A6647">
        <w:rPr>
          <w:rFonts w:ascii="Arial" w:hAnsi="Arial" w:cs="Arial"/>
        </w:rPr>
        <w:t>The need to</w:t>
      </w:r>
      <w:r w:rsidR="00BE02F2" w:rsidRPr="000A6647">
        <w:rPr>
          <w:rFonts w:ascii="Arial" w:hAnsi="Arial" w:cs="Arial"/>
        </w:rPr>
        <w:t xml:space="preserve"> provide advice</w:t>
      </w:r>
      <w:r w:rsidR="00097FF2" w:rsidRPr="000A6647">
        <w:rPr>
          <w:rFonts w:ascii="Arial" w:hAnsi="Arial" w:cs="Arial"/>
        </w:rPr>
        <w:t xml:space="preserve">, information or guidance </w:t>
      </w:r>
      <w:r w:rsidR="00B242D5" w:rsidRPr="000A6647">
        <w:rPr>
          <w:rFonts w:ascii="Arial" w:hAnsi="Arial" w:cs="Arial"/>
        </w:rPr>
        <w:t>w</w:t>
      </w:r>
      <w:r w:rsidRPr="000A6647">
        <w:rPr>
          <w:rFonts w:ascii="Arial" w:hAnsi="Arial" w:cs="Arial"/>
        </w:rPr>
        <w:t>hich promote</w:t>
      </w:r>
      <w:r w:rsidRPr="00ED2EA6">
        <w:rPr>
          <w:rFonts w:ascii="Arial" w:hAnsi="Arial" w:cs="Arial"/>
        </w:rPr>
        <w:t xml:space="preserve"> people’s safety and encourage high-quality health and social care</w:t>
      </w:r>
      <w:r w:rsidR="0033137B" w:rsidRPr="00ED2EA6">
        <w:rPr>
          <w:rFonts w:ascii="Arial" w:hAnsi="Arial" w:cs="Arial"/>
        </w:rPr>
        <w:t>;</w:t>
      </w:r>
      <w:r w:rsidRPr="00ED2EA6">
        <w:rPr>
          <w:rFonts w:ascii="Arial" w:hAnsi="Arial" w:cs="Arial"/>
        </w:rPr>
        <w:t xml:space="preserve"> </w:t>
      </w:r>
    </w:p>
    <w:p w14:paraId="133EF94B" w14:textId="31655D2C" w:rsidR="001C0461" w:rsidRPr="00ED2EA6" w:rsidRDefault="001C0461" w:rsidP="0030415F">
      <w:pPr>
        <w:pStyle w:val="ListParagraph"/>
        <w:numPr>
          <w:ilvl w:val="0"/>
          <w:numId w:val="2"/>
        </w:numPr>
        <w:spacing w:after="120"/>
        <w:ind w:left="714" w:hanging="357"/>
        <w:contextualSpacing w:val="0"/>
        <w:rPr>
          <w:rFonts w:ascii="Arial" w:hAnsi="Arial" w:cs="Arial"/>
        </w:rPr>
      </w:pPr>
      <w:r w:rsidRPr="4B6CCCE2">
        <w:rPr>
          <w:rFonts w:ascii="Arial" w:hAnsi="Arial" w:cs="Arial"/>
        </w:rPr>
        <w:t>The sharing of insight and intelligence drawn from respective activities</w:t>
      </w:r>
      <w:r w:rsidR="7D443F8B" w:rsidRPr="4B6CCCE2">
        <w:rPr>
          <w:rFonts w:ascii="Arial" w:hAnsi="Arial" w:cs="Arial"/>
        </w:rPr>
        <w:t>;</w:t>
      </w:r>
    </w:p>
    <w:p w14:paraId="5C8DE0CA" w14:textId="4A54539F" w:rsidR="007429A8" w:rsidRPr="00ED2EA6" w:rsidRDefault="007429A8" w:rsidP="0030415F">
      <w:pPr>
        <w:pStyle w:val="ListParagraph"/>
        <w:numPr>
          <w:ilvl w:val="0"/>
          <w:numId w:val="2"/>
        </w:numPr>
        <w:spacing w:after="120"/>
        <w:ind w:left="714" w:hanging="357"/>
        <w:contextualSpacing w:val="0"/>
        <w:rPr>
          <w:rFonts w:ascii="Arial" w:hAnsi="Arial" w:cs="Arial"/>
        </w:rPr>
      </w:pPr>
      <w:r w:rsidRPr="00ED2EA6">
        <w:rPr>
          <w:rFonts w:ascii="Arial" w:hAnsi="Arial" w:cs="Arial"/>
        </w:rPr>
        <w:t>Respect for each organisation’s independent status</w:t>
      </w:r>
      <w:r w:rsidR="002052A7">
        <w:rPr>
          <w:rFonts w:ascii="Arial" w:hAnsi="Arial" w:cs="Arial"/>
        </w:rPr>
        <w:t xml:space="preserve"> as well as the relevant regulatory and legal environment in which they operate</w:t>
      </w:r>
      <w:r w:rsidR="0033137B" w:rsidRPr="00ED2EA6">
        <w:rPr>
          <w:rFonts w:ascii="Arial" w:hAnsi="Arial" w:cs="Arial"/>
        </w:rPr>
        <w:t>;</w:t>
      </w:r>
      <w:r w:rsidRPr="00ED2EA6">
        <w:rPr>
          <w:rFonts w:ascii="Arial" w:hAnsi="Arial" w:cs="Arial"/>
        </w:rPr>
        <w:t xml:space="preserve"> </w:t>
      </w:r>
    </w:p>
    <w:p w14:paraId="49F5873D" w14:textId="4DBFDCBA" w:rsidR="007429A8" w:rsidRPr="00ED2EA6" w:rsidRDefault="007429A8" w:rsidP="0030415F">
      <w:pPr>
        <w:pStyle w:val="ListParagraph"/>
        <w:numPr>
          <w:ilvl w:val="0"/>
          <w:numId w:val="2"/>
        </w:numPr>
        <w:spacing w:after="120"/>
        <w:ind w:left="714" w:hanging="357"/>
        <w:contextualSpacing w:val="0"/>
        <w:rPr>
          <w:rFonts w:ascii="Arial" w:hAnsi="Arial" w:cs="Arial"/>
        </w:rPr>
      </w:pPr>
      <w:r w:rsidRPr="00ED2EA6">
        <w:rPr>
          <w:rFonts w:ascii="Arial" w:hAnsi="Arial" w:cs="Arial"/>
        </w:rPr>
        <w:t xml:space="preserve">The need to maintain public and professional confidence in the two organisations and the </w:t>
      </w:r>
      <w:r w:rsidR="001058C1" w:rsidRPr="00ED2EA6">
        <w:rPr>
          <w:rFonts w:ascii="Arial" w:hAnsi="Arial" w:cs="Arial"/>
        </w:rPr>
        <w:t>CQC</w:t>
      </w:r>
      <w:r w:rsidR="009445EF" w:rsidRPr="00ED2EA6">
        <w:rPr>
          <w:rFonts w:ascii="Arial" w:hAnsi="Arial" w:cs="Arial"/>
        </w:rPr>
        <w:t xml:space="preserve"> </w:t>
      </w:r>
      <w:r w:rsidRPr="00ED2EA6">
        <w:rPr>
          <w:rFonts w:ascii="Arial" w:hAnsi="Arial" w:cs="Arial"/>
        </w:rPr>
        <w:t>regulatory process</w:t>
      </w:r>
      <w:r w:rsidR="0033137B" w:rsidRPr="00ED2EA6">
        <w:rPr>
          <w:rFonts w:ascii="Arial" w:hAnsi="Arial" w:cs="Arial"/>
        </w:rPr>
        <w:t>;</w:t>
      </w:r>
      <w:r w:rsidRPr="00ED2EA6">
        <w:rPr>
          <w:rFonts w:ascii="Arial" w:hAnsi="Arial" w:cs="Arial"/>
        </w:rPr>
        <w:t xml:space="preserve"> </w:t>
      </w:r>
    </w:p>
    <w:p w14:paraId="30F56B10" w14:textId="30CCCFE7" w:rsidR="007429A8" w:rsidRPr="00800FA1" w:rsidRDefault="007429A8" w:rsidP="0030415F">
      <w:pPr>
        <w:pStyle w:val="ListParagraph"/>
        <w:numPr>
          <w:ilvl w:val="0"/>
          <w:numId w:val="2"/>
        </w:numPr>
        <w:spacing w:after="120"/>
        <w:ind w:left="714" w:hanging="357"/>
        <w:contextualSpacing w:val="0"/>
        <w:rPr>
          <w:rFonts w:ascii="Arial" w:hAnsi="Arial" w:cs="Arial"/>
        </w:rPr>
      </w:pPr>
      <w:r w:rsidRPr="00ED2EA6">
        <w:rPr>
          <w:rFonts w:ascii="Arial" w:hAnsi="Arial" w:cs="Arial"/>
        </w:rPr>
        <w:t xml:space="preserve">Openness and transparency between the two </w:t>
      </w:r>
      <w:r w:rsidRPr="00800FA1">
        <w:rPr>
          <w:rFonts w:ascii="Arial" w:hAnsi="Arial" w:cs="Arial"/>
        </w:rPr>
        <w:t>organisations</w:t>
      </w:r>
      <w:r w:rsidRPr="00ED2EA6">
        <w:rPr>
          <w:rFonts w:ascii="Arial" w:hAnsi="Arial" w:cs="Arial"/>
        </w:rPr>
        <w:t xml:space="preserve"> </w:t>
      </w:r>
      <w:r w:rsidRPr="00800FA1">
        <w:rPr>
          <w:rFonts w:ascii="Arial" w:hAnsi="Arial" w:cs="Arial"/>
        </w:rPr>
        <w:t>as t</w:t>
      </w:r>
      <w:r w:rsidR="001C0461" w:rsidRPr="00800FA1">
        <w:rPr>
          <w:rFonts w:ascii="Arial" w:hAnsi="Arial" w:cs="Arial"/>
        </w:rPr>
        <w:t xml:space="preserve">o its respective activities </w:t>
      </w:r>
      <w:r w:rsidR="00800FA1" w:rsidRPr="00800FA1">
        <w:rPr>
          <w:rFonts w:ascii="Arial" w:hAnsi="Arial" w:cs="Arial"/>
        </w:rPr>
        <w:t>carried out under the principles of this MoU</w:t>
      </w:r>
      <w:r w:rsidR="50B48100" w:rsidRPr="588EF216">
        <w:rPr>
          <w:rFonts w:ascii="Arial" w:hAnsi="Arial" w:cs="Arial"/>
        </w:rPr>
        <w:t>;</w:t>
      </w:r>
    </w:p>
    <w:p w14:paraId="6DE45723" w14:textId="2D88753A" w:rsidR="00B41DD5" w:rsidRPr="00ED2EA6" w:rsidRDefault="00CA74DF" w:rsidP="0030415F">
      <w:pPr>
        <w:pStyle w:val="ListParagraph"/>
        <w:numPr>
          <w:ilvl w:val="0"/>
          <w:numId w:val="2"/>
        </w:numPr>
        <w:spacing w:after="120"/>
        <w:ind w:left="714" w:hanging="357"/>
        <w:contextualSpacing w:val="0"/>
        <w:rPr>
          <w:rFonts w:ascii="Arial" w:hAnsi="Arial" w:cs="Arial"/>
        </w:rPr>
      </w:pPr>
      <w:r w:rsidRPr="4B6CCCE2">
        <w:rPr>
          <w:rFonts w:ascii="Arial" w:hAnsi="Arial" w:cs="Arial"/>
        </w:rPr>
        <w:t>T</w:t>
      </w:r>
      <w:r w:rsidR="00B41DD5" w:rsidRPr="4B6CCCE2">
        <w:rPr>
          <w:rFonts w:ascii="Arial" w:hAnsi="Arial" w:cs="Arial"/>
        </w:rPr>
        <w:t>he</w:t>
      </w:r>
      <w:r w:rsidRPr="4B6CCCE2">
        <w:rPr>
          <w:rFonts w:ascii="Arial" w:hAnsi="Arial" w:cs="Arial"/>
        </w:rPr>
        <w:t xml:space="preserve"> need to use resources effectively and </w:t>
      </w:r>
      <w:r w:rsidR="00CC4047" w:rsidRPr="4B6CCCE2">
        <w:rPr>
          <w:rFonts w:ascii="Arial" w:hAnsi="Arial" w:cs="Arial"/>
        </w:rPr>
        <w:t>efficiently</w:t>
      </w:r>
      <w:r w:rsidR="4FF918FF" w:rsidRPr="4B6CCCE2">
        <w:rPr>
          <w:rFonts w:ascii="Arial" w:hAnsi="Arial" w:cs="Arial"/>
        </w:rPr>
        <w:t>.</w:t>
      </w:r>
    </w:p>
    <w:p w14:paraId="68CB1FB7" w14:textId="77777777" w:rsidR="007429A8" w:rsidRPr="00D52C0E" w:rsidRDefault="007429A8" w:rsidP="00484A9F">
      <w:pPr>
        <w:rPr>
          <w:rFonts w:ascii="Arial" w:hAnsi="Arial" w:cs="Arial"/>
        </w:rPr>
      </w:pPr>
    </w:p>
    <w:p w14:paraId="538C8FEA" w14:textId="229B923B" w:rsidR="007429A8" w:rsidRPr="00D52C0E" w:rsidRDefault="007429A8" w:rsidP="000A6647">
      <w:pPr>
        <w:pStyle w:val="Heading1"/>
      </w:pPr>
      <w:r w:rsidRPr="00D52C0E">
        <w:t xml:space="preserve">Areas of </w:t>
      </w:r>
      <w:r w:rsidR="006F02C9">
        <w:t>c</w:t>
      </w:r>
      <w:r w:rsidRPr="00D52C0E">
        <w:t xml:space="preserve">o-operation </w:t>
      </w:r>
    </w:p>
    <w:p w14:paraId="5279D514" w14:textId="2C940018" w:rsidR="007429A8" w:rsidRPr="00D52C0E" w:rsidRDefault="007429A8" w:rsidP="00484A9F">
      <w:pPr>
        <w:rPr>
          <w:rFonts w:ascii="Arial" w:hAnsi="Arial" w:cs="Arial"/>
        </w:rPr>
      </w:pPr>
    </w:p>
    <w:p w14:paraId="5439EF08" w14:textId="44038A3A" w:rsidR="00FD3B98" w:rsidRPr="00600807" w:rsidRDefault="00A44FD9" w:rsidP="0030415F">
      <w:pPr>
        <w:pStyle w:val="ListParagraph"/>
        <w:numPr>
          <w:ilvl w:val="0"/>
          <w:numId w:val="4"/>
        </w:numPr>
        <w:rPr>
          <w:rFonts w:ascii="Arial" w:hAnsi="Arial" w:cs="Arial"/>
        </w:rPr>
      </w:pPr>
      <w:r w:rsidRPr="00600807">
        <w:rPr>
          <w:rFonts w:ascii="Arial" w:hAnsi="Arial" w:cs="Arial"/>
        </w:rPr>
        <w:t xml:space="preserve">CQC </w:t>
      </w:r>
      <w:r w:rsidR="00BD6FF7" w:rsidRPr="00600807">
        <w:rPr>
          <w:rFonts w:ascii="Arial" w:hAnsi="Arial" w:cs="Arial"/>
        </w:rPr>
        <w:t>published their</w:t>
      </w:r>
      <w:r w:rsidR="000C4756" w:rsidRPr="00600807">
        <w:rPr>
          <w:rFonts w:ascii="Arial" w:hAnsi="Arial" w:cs="Arial"/>
        </w:rPr>
        <w:t xml:space="preserve"> most recent </w:t>
      </w:r>
      <w:hyperlink r:id="rId11">
        <w:r w:rsidR="008C4537" w:rsidRPr="00600807">
          <w:rPr>
            <w:rStyle w:val="Hyperlink"/>
            <w:rFonts w:ascii="Arial" w:hAnsi="Arial" w:cs="Arial"/>
          </w:rPr>
          <w:t>strategy</w:t>
        </w:r>
        <w:r w:rsidR="00BD6FF7" w:rsidRPr="00600807">
          <w:rPr>
            <w:rStyle w:val="Hyperlink"/>
            <w:rFonts w:ascii="Arial" w:hAnsi="Arial" w:cs="Arial"/>
          </w:rPr>
          <w:t xml:space="preserve"> </w:t>
        </w:r>
      </w:hyperlink>
      <w:r w:rsidR="00FD3B98" w:rsidRPr="00600807">
        <w:rPr>
          <w:rFonts w:ascii="Arial" w:hAnsi="Arial" w:cs="Arial"/>
        </w:rPr>
        <w:t>in May 2021. NHS</w:t>
      </w:r>
      <w:r w:rsidR="001C0461" w:rsidRPr="00600807">
        <w:rPr>
          <w:rFonts w:ascii="Arial" w:hAnsi="Arial" w:cs="Arial"/>
        </w:rPr>
        <w:t xml:space="preserve"> </w:t>
      </w:r>
      <w:r w:rsidR="00FD3B98" w:rsidRPr="00600807">
        <w:rPr>
          <w:rFonts w:ascii="Arial" w:hAnsi="Arial" w:cs="Arial"/>
        </w:rPr>
        <w:t>R</w:t>
      </w:r>
      <w:r w:rsidR="001C0461" w:rsidRPr="00600807">
        <w:rPr>
          <w:rFonts w:ascii="Arial" w:hAnsi="Arial" w:cs="Arial"/>
        </w:rPr>
        <w:t>esolution</w:t>
      </w:r>
      <w:r w:rsidR="002052A7" w:rsidRPr="00600807">
        <w:rPr>
          <w:rFonts w:ascii="Arial" w:hAnsi="Arial" w:cs="Arial"/>
        </w:rPr>
        <w:t>’s strategy o</w:t>
      </w:r>
      <w:r w:rsidR="26916579" w:rsidRPr="00600807">
        <w:rPr>
          <w:rFonts w:ascii="Arial" w:hAnsi="Arial" w:cs="Arial"/>
        </w:rPr>
        <w:t>f</w:t>
      </w:r>
      <w:r w:rsidR="002052A7" w:rsidRPr="00600807">
        <w:rPr>
          <w:rFonts w:ascii="Arial" w:hAnsi="Arial" w:cs="Arial"/>
        </w:rPr>
        <w:t xml:space="preserve"> March 2022 can be found </w:t>
      </w:r>
      <w:hyperlink r:id="rId12">
        <w:r w:rsidR="002052A7" w:rsidRPr="00600807">
          <w:rPr>
            <w:rStyle w:val="Hyperlink"/>
            <w:rFonts w:ascii="Arial" w:hAnsi="Arial" w:cs="Arial"/>
          </w:rPr>
          <w:t>here</w:t>
        </w:r>
      </w:hyperlink>
      <w:r w:rsidR="002052A7" w:rsidRPr="00600807">
        <w:rPr>
          <w:rFonts w:ascii="Arial" w:hAnsi="Arial" w:cs="Arial"/>
        </w:rPr>
        <w:t xml:space="preserve">. </w:t>
      </w:r>
      <w:r w:rsidR="009D1702" w:rsidRPr="00600807">
        <w:rPr>
          <w:rFonts w:ascii="Arial" w:hAnsi="Arial" w:cs="Arial"/>
        </w:rPr>
        <w:t>It is agreed that both organisations shar</w:t>
      </w:r>
      <w:r w:rsidR="003C2623" w:rsidRPr="00600807">
        <w:rPr>
          <w:rFonts w:ascii="Arial" w:hAnsi="Arial" w:cs="Arial"/>
        </w:rPr>
        <w:t>e</w:t>
      </w:r>
      <w:r w:rsidR="00B96AC9" w:rsidRPr="00600807">
        <w:rPr>
          <w:rFonts w:ascii="Arial" w:hAnsi="Arial" w:cs="Arial"/>
        </w:rPr>
        <w:t xml:space="preserve"> common</w:t>
      </w:r>
      <w:r w:rsidR="003C2623" w:rsidRPr="00600807">
        <w:rPr>
          <w:rFonts w:ascii="Arial" w:hAnsi="Arial" w:cs="Arial"/>
        </w:rPr>
        <w:t xml:space="preserve"> strategic </w:t>
      </w:r>
      <w:r w:rsidR="000C4756" w:rsidRPr="00600807">
        <w:rPr>
          <w:rFonts w:ascii="Arial" w:hAnsi="Arial" w:cs="Arial"/>
        </w:rPr>
        <w:t>ambitions</w:t>
      </w:r>
      <w:r w:rsidR="003C2623" w:rsidRPr="00600807">
        <w:rPr>
          <w:rFonts w:ascii="Arial" w:hAnsi="Arial" w:cs="Arial"/>
        </w:rPr>
        <w:t xml:space="preserve"> and that </w:t>
      </w:r>
      <w:r w:rsidR="005E31E1" w:rsidRPr="00600807">
        <w:rPr>
          <w:rFonts w:ascii="Arial" w:hAnsi="Arial" w:cs="Arial"/>
        </w:rPr>
        <w:t>by</w:t>
      </w:r>
      <w:r w:rsidR="003C2623" w:rsidRPr="00600807">
        <w:rPr>
          <w:rFonts w:ascii="Arial" w:hAnsi="Arial" w:cs="Arial"/>
        </w:rPr>
        <w:t xml:space="preserve"> working </w:t>
      </w:r>
      <w:r w:rsidR="00957B44" w:rsidRPr="00600807">
        <w:rPr>
          <w:rFonts w:ascii="Arial" w:hAnsi="Arial" w:cs="Arial"/>
        </w:rPr>
        <w:t xml:space="preserve">more </w:t>
      </w:r>
      <w:r w:rsidR="003C2623" w:rsidRPr="00600807">
        <w:rPr>
          <w:rFonts w:ascii="Arial" w:hAnsi="Arial" w:cs="Arial"/>
        </w:rPr>
        <w:t>close</w:t>
      </w:r>
      <w:r w:rsidR="00957B44" w:rsidRPr="00600807">
        <w:rPr>
          <w:rFonts w:ascii="Arial" w:hAnsi="Arial" w:cs="Arial"/>
        </w:rPr>
        <w:t>ly</w:t>
      </w:r>
      <w:r w:rsidR="003C2623" w:rsidRPr="00600807">
        <w:rPr>
          <w:rFonts w:ascii="Arial" w:hAnsi="Arial" w:cs="Arial"/>
        </w:rPr>
        <w:t xml:space="preserve"> together and sharing information </w:t>
      </w:r>
      <w:r w:rsidR="00EB2A12" w:rsidRPr="00600807">
        <w:rPr>
          <w:rFonts w:ascii="Arial" w:hAnsi="Arial" w:cs="Arial"/>
        </w:rPr>
        <w:t>and insight</w:t>
      </w:r>
      <w:r w:rsidR="7F05DA81" w:rsidRPr="00600807">
        <w:rPr>
          <w:rFonts w:ascii="Arial" w:hAnsi="Arial" w:cs="Arial"/>
        </w:rPr>
        <w:t>;</w:t>
      </w:r>
      <w:r w:rsidR="005E31E1" w:rsidRPr="00600807">
        <w:rPr>
          <w:rFonts w:ascii="Arial" w:hAnsi="Arial" w:cs="Arial"/>
        </w:rPr>
        <w:t xml:space="preserve"> </w:t>
      </w:r>
      <w:r w:rsidR="1C4D4BF4" w:rsidRPr="00600807">
        <w:rPr>
          <w:rFonts w:ascii="Arial" w:hAnsi="Arial" w:cs="Arial"/>
        </w:rPr>
        <w:t>t</w:t>
      </w:r>
      <w:r w:rsidR="005E31E1" w:rsidRPr="00600807">
        <w:rPr>
          <w:rFonts w:ascii="Arial" w:hAnsi="Arial" w:cs="Arial"/>
        </w:rPr>
        <w:t>his</w:t>
      </w:r>
      <w:r w:rsidR="00EB2A12" w:rsidRPr="00600807">
        <w:rPr>
          <w:rFonts w:ascii="Arial" w:hAnsi="Arial" w:cs="Arial"/>
        </w:rPr>
        <w:t xml:space="preserve"> </w:t>
      </w:r>
      <w:r w:rsidR="003C2623" w:rsidRPr="00600807">
        <w:rPr>
          <w:rFonts w:ascii="Arial" w:hAnsi="Arial" w:cs="Arial"/>
        </w:rPr>
        <w:t>will hel</w:t>
      </w:r>
      <w:r w:rsidR="00A26870" w:rsidRPr="00600807">
        <w:rPr>
          <w:rFonts w:ascii="Arial" w:hAnsi="Arial" w:cs="Arial"/>
        </w:rPr>
        <w:t>p</w:t>
      </w:r>
      <w:r w:rsidR="001B5A38" w:rsidRPr="00600807">
        <w:rPr>
          <w:rFonts w:ascii="Arial" w:hAnsi="Arial" w:cs="Arial"/>
        </w:rPr>
        <w:t xml:space="preserve"> both </w:t>
      </w:r>
      <w:r w:rsidR="005E31E1" w:rsidRPr="00600807">
        <w:rPr>
          <w:rFonts w:ascii="Arial" w:hAnsi="Arial" w:cs="Arial"/>
        </w:rPr>
        <w:t>organisations</w:t>
      </w:r>
      <w:r w:rsidR="001B5A38" w:rsidRPr="00600807">
        <w:rPr>
          <w:rFonts w:ascii="Arial" w:hAnsi="Arial" w:cs="Arial"/>
        </w:rPr>
        <w:t xml:space="preserve"> deliver on the</w:t>
      </w:r>
      <w:r w:rsidR="000C4756" w:rsidRPr="00600807">
        <w:rPr>
          <w:rFonts w:ascii="Arial" w:hAnsi="Arial" w:cs="Arial"/>
        </w:rPr>
        <w:t>se</w:t>
      </w:r>
      <w:r w:rsidR="00E21053" w:rsidRPr="00600807">
        <w:rPr>
          <w:rFonts w:ascii="Arial" w:hAnsi="Arial" w:cs="Arial"/>
        </w:rPr>
        <w:t xml:space="preserve"> </w:t>
      </w:r>
      <w:r w:rsidR="00013E11" w:rsidRPr="00600807">
        <w:rPr>
          <w:rFonts w:ascii="Arial" w:hAnsi="Arial" w:cs="Arial"/>
        </w:rPr>
        <w:t>ambitions/objectives</w:t>
      </w:r>
      <w:r w:rsidR="00652B4F" w:rsidRPr="00600807">
        <w:rPr>
          <w:rFonts w:ascii="Arial" w:hAnsi="Arial" w:cs="Arial"/>
        </w:rPr>
        <w:t xml:space="preserve"> including e</w:t>
      </w:r>
      <w:r w:rsidR="00337C15" w:rsidRPr="00600807">
        <w:rPr>
          <w:rFonts w:ascii="Arial" w:hAnsi="Arial" w:cs="Arial"/>
        </w:rPr>
        <w:t>ncouraging and promoting patient safety and quality of care.</w:t>
      </w:r>
    </w:p>
    <w:p w14:paraId="7C1194B2" w14:textId="77777777" w:rsidR="00ED2EA6" w:rsidRPr="00D52C0E" w:rsidRDefault="00ED2EA6" w:rsidP="00D52C0E">
      <w:pPr>
        <w:pStyle w:val="ListParagraph"/>
        <w:ind w:left="360"/>
        <w:rPr>
          <w:rFonts w:ascii="Arial" w:hAnsi="Arial" w:cs="Arial"/>
        </w:rPr>
      </w:pPr>
    </w:p>
    <w:p w14:paraId="5DE4215F" w14:textId="49A02756" w:rsidR="00C14527" w:rsidRPr="000A6647" w:rsidRDefault="00ED0216" w:rsidP="0030415F">
      <w:pPr>
        <w:pStyle w:val="ListParagraph"/>
        <w:numPr>
          <w:ilvl w:val="0"/>
          <w:numId w:val="4"/>
        </w:numPr>
        <w:rPr>
          <w:rFonts w:ascii="Arial" w:hAnsi="Arial" w:cs="Arial"/>
        </w:rPr>
      </w:pPr>
      <w:r w:rsidRPr="000A6647">
        <w:rPr>
          <w:rFonts w:ascii="Arial" w:hAnsi="Arial" w:cs="Arial"/>
        </w:rPr>
        <w:t>Reflecting CQC and NHS</w:t>
      </w:r>
      <w:r w:rsidR="0BA8371E" w:rsidRPr="000A6647">
        <w:rPr>
          <w:rFonts w:ascii="Arial" w:hAnsi="Arial" w:cs="Arial"/>
        </w:rPr>
        <w:t xml:space="preserve"> </w:t>
      </w:r>
      <w:r w:rsidRPr="000A6647">
        <w:rPr>
          <w:rFonts w:ascii="Arial" w:hAnsi="Arial" w:cs="Arial"/>
        </w:rPr>
        <w:t>R</w:t>
      </w:r>
      <w:r w:rsidR="714C6763" w:rsidRPr="000A6647">
        <w:rPr>
          <w:rFonts w:ascii="Arial" w:hAnsi="Arial" w:cs="Arial"/>
        </w:rPr>
        <w:t>esolution</w:t>
      </w:r>
      <w:r w:rsidR="00BF6591" w:rsidRPr="000A6647">
        <w:rPr>
          <w:rFonts w:ascii="Arial" w:hAnsi="Arial" w:cs="Arial"/>
        </w:rPr>
        <w:t>’</w:t>
      </w:r>
      <w:r w:rsidRPr="000A6647">
        <w:rPr>
          <w:rFonts w:ascii="Arial" w:hAnsi="Arial" w:cs="Arial"/>
        </w:rPr>
        <w:t xml:space="preserve">s </w:t>
      </w:r>
      <w:r w:rsidR="00061376" w:rsidRPr="000A6647">
        <w:rPr>
          <w:rFonts w:ascii="Arial" w:hAnsi="Arial" w:cs="Arial"/>
        </w:rPr>
        <w:t>shared</w:t>
      </w:r>
      <w:r w:rsidR="00B96AC9" w:rsidRPr="000A6647">
        <w:rPr>
          <w:rFonts w:ascii="Arial" w:hAnsi="Arial" w:cs="Arial"/>
        </w:rPr>
        <w:t xml:space="preserve"> </w:t>
      </w:r>
      <w:r w:rsidR="00061376" w:rsidRPr="000A6647">
        <w:rPr>
          <w:rFonts w:ascii="Arial" w:hAnsi="Arial" w:cs="Arial"/>
        </w:rPr>
        <w:t>strategic ambitions, t</w:t>
      </w:r>
      <w:r w:rsidR="007429A8" w:rsidRPr="000A6647">
        <w:rPr>
          <w:rFonts w:ascii="Arial" w:hAnsi="Arial" w:cs="Arial"/>
        </w:rPr>
        <w:t xml:space="preserve">he working relationship between CQC and </w:t>
      </w:r>
      <w:r w:rsidR="009D5656" w:rsidRPr="000A6647">
        <w:rPr>
          <w:rFonts w:ascii="Arial" w:hAnsi="Arial" w:cs="Arial"/>
        </w:rPr>
        <w:t>NHS R</w:t>
      </w:r>
      <w:r w:rsidR="000174CE" w:rsidRPr="000A6647">
        <w:rPr>
          <w:rFonts w:ascii="Arial" w:hAnsi="Arial" w:cs="Arial"/>
        </w:rPr>
        <w:t>esolution</w:t>
      </w:r>
      <w:r w:rsidR="007429A8" w:rsidRPr="000A6647">
        <w:rPr>
          <w:rFonts w:ascii="Arial" w:hAnsi="Arial" w:cs="Arial"/>
        </w:rPr>
        <w:t xml:space="preserve"> </w:t>
      </w:r>
      <w:r w:rsidR="003C2623" w:rsidRPr="000A6647">
        <w:rPr>
          <w:rFonts w:ascii="Arial" w:hAnsi="Arial" w:cs="Arial"/>
        </w:rPr>
        <w:t xml:space="preserve">will </w:t>
      </w:r>
      <w:r w:rsidR="007429A8" w:rsidRPr="000A6647">
        <w:rPr>
          <w:rFonts w:ascii="Arial" w:hAnsi="Arial" w:cs="Arial"/>
        </w:rPr>
        <w:t xml:space="preserve">involve co-operation in the following </w:t>
      </w:r>
      <w:r w:rsidR="00166966" w:rsidRPr="000A6647">
        <w:rPr>
          <w:rFonts w:ascii="Arial" w:hAnsi="Arial" w:cs="Arial"/>
        </w:rPr>
        <w:t xml:space="preserve">three broad </w:t>
      </w:r>
      <w:r w:rsidR="007429A8" w:rsidRPr="000A6647">
        <w:rPr>
          <w:rFonts w:ascii="Arial" w:hAnsi="Arial" w:cs="Arial"/>
        </w:rPr>
        <w:t>areas</w:t>
      </w:r>
      <w:r w:rsidR="009C6D77">
        <w:rPr>
          <w:rFonts w:ascii="Arial" w:hAnsi="Arial" w:cs="Arial"/>
        </w:rPr>
        <w:t>:</w:t>
      </w:r>
    </w:p>
    <w:p w14:paraId="3DB05850" w14:textId="3138C696" w:rsidR="00C14527" w:rsidRDefault="00C14527" w:rsidP="00C14527">
      <w:pPr>
        <w:rPr>
          <w:rFonts w:ascii="Arial" w:hAnsi="Arial" w:cs="Arial"/>
        </w:rPr>
      </w:pPr>
    </w:p>
    <w:p w14:paraId="1C3BF79B" w14:textId="77777777" w:rsidR="00C14527" w:rsidRPr="000A6647" w:rsidRDefault="00C14527" w:rsidP="000A6647">
      <w:pPr>
        <w:rPr>
          <w:rFonts w:ascii="Arial" w:hAnsi="Arial" w:cs="Arial"/>
        </w:rPr>
      </w:pPr>
    </w:p>
    <w:p w14:paraId="2C99180F" w14:textId="063A99F1" w:rsidR="00FA16CF" w:rsidRPr="00D52C0E" w:rsidRDefault="00FA16CF" w:rsidP="00484A9F">
      <w:pPr>
        <w:rPr>
          <w:rFonts w:ascii="Arial" w:hAnsi="Arial" w:cs="Arial"/>
        </w:rPr>
      </w:pPr>
    </w:p>
    <w:tbl>
      <w:tblPr>
        <w:tblStyle w:val="TableGrid"/>
        <w:tblW w:w="0" w:type="auto"/>
        <w:tblInd w:w="279" w:type="dxa"/>
        <w:tblLook w:val="04A0" w:firstRow="1" w:lastRow="0" w:firstColumn="1" w:lastColumn="0" w:noHBand="0" w:noVBand="1"/>
      </w:tblPr>
      <w:tblGrid>
        <w:gridCol w:w="3118"/>
        <w:gridCol w:w="2835"/>
        <w:gridCol w:w="2784"/>
      </w:tblGrid>
      <w:tr w:rsidR="00BD6FF7" w:rsidRPr="00D52C0E" w14:paraId="733DF516" w14:textId="77777777" w:rsidTr="0003640D">
        <w:tc>
          <w:tcPr>
            <w:tcW w:w="3118" w:type="dxa"/>
            <w:shd w:val="clear" w:color="auto" w:fill="E7E6E6" w:themeFill="background2"/>
          </w:tcPr>
          <w:p w14:paraId="47E30C02" w14:textId="6F96FCFC" w:rsidR="00BD6FF7" w:rsidRPr="00D52C0E" w:rsidRDefault="00661227" w:rsidP="00A45424">
            <w:pPr>
              <w:rPr>
                <w:rFonts w:ascii="Arial" w:hAnsi="Arial" w:cs="Arial"/>
                <w:b/>
                <w:bCs/>
              </w:rPr>
            </w:pPr>
            <w:r w:rsidRPr="00D52C0E">
              <w:rPr>
                <w:rFonts w:ascii="Arial" w:hAnsi="Arial" w:cs="Arial"/>
                <w:b/>
                <w:bCs/>
              </w:rPr>
              <w:t>Sma</w:t>
            </w:r>
            <w:r w:rsidR="00300FA6" w:rsidRPr="00D52C0E">
              <w:rPr>
                <w:rFonts w:ascii="Arial" w:hAnsi="Arial" w:cs="Arial"/>
                <w:b/>
                <w:bCs/>
              </w:rPr>
              <w:t>rter</w:t>
            </w:r>
            <w:r w:rsidR="00A45424">
              <w:rPr>
                <w:rFonts w:ascii="Arial" w:hAnsi="Arial" w:cs="Arial"/>
                <w:b/>
                <w:bCs/>
              </w:rPr>
              <w:t xml:space="preserve"> Working</w:t>
            </w:r>
            <w:r w:rsidR="00300FA6" w:rsidRPr="00D52C0E">
              <w:rPr>
                <w:rFonts w:ascii="Arial" w:hAnsi="Arial" w:cs="Arial"/>
                <w:b/>
                <w:bCs/>
              </w:rPr>
              <w:t xml:space="preserve"> </w:t>
            </w:r>
          </w:p>
        </w:tc>
        <w:tc>
          <w:tcPr>
            <w:tcW w:w="2835" w:type="dxa"/>
            <w:shd w:val="clear" w:color="auto" w:fill="D0CECE" w:themeFill="background2" w:themeFillShade="E6"/>
          </w:tcPr>
          <w:p w14:paraId="6C507C32" w14:textId="03135196" w:rsidR="00BD6FF7" w:rsidRPr="00D52C0E" w:rsidRDefault="00661227" w:rsidP="00484A9F">
            <w:pPr>
              <w:rPr>
                <w:rFonts w:ascii="Arial" w:hAnsi="Arial" w:cs="Arial"/>
                <w:b/>
                <w:bCs/>
              </w:rPr>
            </w:pPr>
            <w:r w:rsidRPr="00D52C0E">
              <w:rPr>
                <w:rFonts w:ascii="Arial" w:hAnsi="Arial" w:cs="Arial"/>
                <w:b/>
                <w:bCs/>
              </w:rPr>
              <w:t xml:space="preserve">Accelerating improvement </w:t>
            </w:r>
          </w:p>
        </w:tc>
        <w:tc>
          <w:tcPr>
            <w:tcW w:w="2784" w:type="dxa"/>
            <w:shd w:val="clear" w:color="auto" w:fill="BFBFBF" w:themeFill="background1" w:themeFillShade="BF"/>
          </w:tcPr>
          <w:p w14:paraId="66B97157" w14:textId="14168957" w:rsidR="00BD6FF7" w:rsidRPr="00D52C0E" w:rsidRDefault="00303509" w:rsidP="00484A9F">
            <w:pPr>
              <w:rPr>
                <w:rFonts w:ascii="Arial" w:hAnsi="Arial" w:cs="Arial"/>
                <w:b/>
                <w:bCs/>
              </w:rPr>
            </w:pPr>
            <w:r w:rsidRPr="00D52C0E">
              <w:rPr>
                <w:rFonts w:ascii="Arial" w:hAnsi="Arial" w:cs="Arial"/>
                <w:b/>
                <w:bCs/>
              </w:rPr>
              <w:t>Safety through learning</w:t>
            </w:r>
          </w:p>
        </w:tc>
      </w:tr>
      <w:tr w:rsidR="00AC33D7" w:rsidRPr="00D52C0E" w14:paraId="52468E5F" w14:textId="77777777" w:rsidTr="0003640D">
        <w:tc>
          <w:tcPr>
            <w:tcW w:w="3118" w:type="dxa"/>
          </w:tcPr>
          <w:p w14:paraId="7216F387" w14:textId="04C6E898" w:rsidR="00AC33D7" w:rsidRPr="00D52C0E" w:rsidRDefault="00A3074D" w:rsidP="00484A9F">
            <w:pPr>
              <w:rPr>
                <w:rFonts w:ascii="Arial" w:hAnsi="Arial" w:cs="Arial"/>
              </w:rPr>
            </w:pPr>
            <w:r w:rsidRPr="00D52C0E">
              <w:rPr>
                <w:rFonts w:ascii="Arial" w:hAnsi="Arial" w:cs="Arial"/>
              </w:rPr>
              <w:lastRenderedPageBreak/>
              <w:t>Sharing data</w:t>
            </w:r>
            <w:r w:rsidR="0049384F" w:rsidRPr="00D52C0E">
              <w:rPr>
                <w:rFonts w:ascii="Arial" w:hAnsi="Arial" w:cs="Arial"/>
              </w:rPr>
              <w:t xml:space="preserve"> </w:t>
            </w:r>
            <w:r w:rsidR="00B553D6" w:rsidRPr="00D52C0E">
              <w:rPr>
                <w:rFonts w:ascii="Arial" w:hAnsi="Arial" w:cs="Arial"/>
              </w:rPr>
              <w:t>/</w:t>
            </w:r>
            <w:r w:rsidR="0049384F" w:rsidRPr="00D52C0E">
              <w:rPr>
                <w:rFonts w:ascii="Arial" w:hAnsi="Arial" w:cs="Arial"/>
              </w:rPr>
              <w:t xml:space="preserve"> </w:t>
            </w:r>
            <w:r w:rsidR="00B553D6" w:rsidRPr="00D52C0E">
              <w:rPr>
                <w:rFonts w:ascii="Arial" w:hAnsi="Arial" w:cs="Arial"/>
              </w:rPr>
              <w:t xml:space="preserve">information </w:t>
            </w:r>
            <w:r w:rsidR="00B96AC9">
              <w:rPr>
                <w:rFonts w:ascii="Arial" w:hAnsi="Arial" w:cs="Arial"/>
              </w:rPr>
              <w:t>lawfully</w:t>
            </w:r>
            <w:r w:rsidR="00F2734E">
              <w:rPr>
                <w:rFonts w:ascii="Arial" w:hAnsi="Arial" w:cs="Arial"/>
              </w:rPr>
              <w:t xml:space="preserve"> </w:t>
            </w:r>
            <w:r w:rsidR="0034038B" w:rsidRPr="00D52C0E">
              <w:rPr>
                <w:rFonts w:ascii="Arial" w:hAnsi="Arial" w:cs="Arial"/>
              </w:rPr>
              <w:t xml:space="preserve">to support each other’s role </w:t>
            </w:r>
            <w:r w:rsidRPr="00D52C0E">
              <w:rPr>
                <w:rFonts w:ascii="Arial" w:hAnsi="Arial" w:cs="Arial"/>
              </w:rPr>
              <w:t>from routine and ad</w:t>
            </w:r>
            <w:r w:rsidR="00A26870" w:rsidRPr="00D52C0E">
              <w:rPr>
                <w:rFonts w:ascii="Arial" w:hAnsi="Arial" w:cs="Arial"/>
              </w:rPr>
              <w:t xml:space="preserve"> </w:t>
            </w:r>
            <w:r w:rsidRPr="00D52C0E">
              <w:rPr>
                <w:rFonts w:ascii="Arial" w:hAnsi="Arial" w:cs="Arial"/>
              </w:rPr>
              <w:t xml:space="preserve">hoc day-to-day </w:t>
            </w:r>
            <w:r w:rsidR="00E2075A" w:rsidRPr="00D52C0E">
              <w:rPr>
                <w:rFonts w:ascii="Arial" w:hAnsi="Arial" w:cs="Arial"/>
              </w:rPr>
              <w:t>activities</w:t>
            </w:r>
            <w:r w:rsidRPr="00D52C0E">
              <w:rPr>
                <w:rFonts w:ascii="Arial" w:hAnsi="Arial" w:cs="Arial"/>
              </w:rPr>
              <w:t xml:space="preserve"> </w:t>
            </w:r>
            <w:r w:rsidR="003F795C" w:rsidRPr="00D52C0E">
              <w:rPr>
                <w:rFonts w:ascii="Arial" w:hAnsi="Arial" w:cs="Arial"/>
              </w:rPr>
              <w:t xml:space="preserve">to enable each organisation to interrogate </w:t>
            </w:r>
            <w:r w:rsidR="00297A14" w:rsidRPr="00D52C0E">
              <w:rPr>
                <w:rFonts w:ascii="Arial" w:hAnsi="Arial" w:cs="Arial"/>
              </w:rPr>
              <w:t>and use this data</w:t>
            </w:r>
            <w:r w:rsidR="00D94179" w:rsidRPr="00D52C0E">
              <w:rPr>
                <w:rFonts w:ascii="Arial" w:hAnsi="Arial" w:cs="Arial"/>
              </w:rPr>
              <w:t xml:space="preserve"> </w:t>
            </w:r>
            <w:r w:rsidR="00297A14" w:rsidRPr="00D52C0E">
              <w:rPr>
                <w:rFonts w:ascii="Arial" w:hAnsi="Arial" w:cs="Arial"/>
              </w:rPr>
              <w:t>/</w:t>
            </w:r>
            <w:r w:rsidR="00D94179" w:rsidRPr="00D52C0E">
              <w:rPr>
                <w:rFonts w:ascii="Arial" w:hAnsi="Arial" w:cs="Arial"/>
              </w:rPr>
              <w:t xml:space="preserve"> </w:t>
            </w:r>
            <w:r w:rsidR="00297A14" w:rsidRPr="00D52C0E">
              <w:rPr>
                <w:rFonts w:ascii="Arial" w:hAnsi="Arial" w:cs="Arial"/>
              </w:rPr>
              <w:t>information</w:t>
            </w:r>
            <w:r w:rsidR="003F795C" w:rsidRPr="00D52C0E">
              <w:rPr>
                <w:rFonts w:ascii="Arial" w:hAnsi="Arial" w:cs="Arial"/>
              </w:rPr>
              <w:t xml:space="preserve"> </w:t>
            </w:r>
            <w:r w:rsidR="001828C0" w:rsidRPr="00D52C0E">
              <w:rPr>
                <w:rFonts w:ascii="Arial" w:hAnsi="Arial" w:cs="Arial"/>
              </w:rPr>
              <w:t>to support their strategic aims</w:t>
            </w:r>
            <w:r w:rsidR="00742AA9" w:rsidRPr="00D52C0E">
              <w:rPr>
                <w:rFonts w:ascii="Arial" w:hAnsi="Arial" w:cs="Arial"/>
              </w:rPr>
              <w:t xml:space="preserve"> and</w:t>
            </w:r>
            <w:r w:rsidR="003E0EC7" w:rsidRPr="00D52C0E">
              <w:rPr>
                <w:rFonts w:ascii="Arial" w:hAnsi="Arial" w:cs="Arial"/>
              </w:rPr>
              <w:t xml:space="preserve"> help</w:t>
            </w:r>
            <w:r w:rsidR="00297A14" w:rsidRPr="00D52C0E">
              <w:rPr>
                <w:rFonts w:ascii="Arial" w:hAnsi="Arial" w:cs="Arial"/>
              </w:rPr>
              <w:t xml:space="preserve"> </w:t>
            </w:r>
            <w:r w:rsidR="00B96AC9">
              <w:rPr>
                <w:rFonts w:ascii="Arial" w:hAnsi="Arial" w:cs="Arial"/>
              </w:rPr>
              <w:t xml:space="preserve">support </w:t>
            </w:r>
            <w:r w:rsidR="009057D2" w:rsidRPr="00D52C0E">
              <w:rPr>
                <w:rFonts w:ascii="Arial" w:hAnsi="Arial" w:cs="Arial"/>
              </w:rPr>
              <w:t>their</w:t>
            </w:r>
            <w:r w:rsidR="00297A14" w:rsidRPr="00D52C0E">
              <w:rPr>
                <w:rFonts w:ascii="Arial" w:hAnsi="Arial" w:cs="Arial"/>
              </w:rPr>
              <w:t xml:space="preserve"> </w:t>
            </w:r>
            <w:r w:rsidR="00742AA9" w:rsidRPr="00D52C0E">
              <w:rPr>
                <w:rFonts w:ascii="Arial" w:hAnsi="Arial" w:cs="Arial"/>
              </w:rPr>
              <w:t xml:space="preserve">respective </w:t>
            </w:r>
            <w:r w:rsidR="00766522" w:rsidRPr="00D52C0E">
              <w:rPr>
                <w:rFonts w:ascii="Arial" w:hAnsi="Arial" w:cs="Arial"/>
              </w:rPr>
              <w:t xml:space="preserve">statutory </w:t>
            </w:r>
            <w:r w:rsidR="00742AA9" w:rsidRPr="00D52C0E">
              <w:rPr>
                <w:rFonts w:ascii="Arial" w:hAnsi="Arial" w:cs="Arial"/>
              </w:rPr>
              <w:t>functions</w:t>
            </w:r>
            <w:r w:rsidR="00FE5046" w:rsidRPr="00D52C0E">
              <w:rPr>
                <w:rFonts w:ascii="Arial" w:hAnsi="Arial" w:cs="Arial"/>
              </w:rPr>
              <w:t>.</w:t>
            </w:r>
          </w:p>
          <w:p w14:paraId="4E613D6E" w14:textId="295662BF" w:rsidR="00A3074D" w:rsidRPr="00D52C0E" w:rsidRDefault="00A3074D" w:rsidP="00484A9F">
            <w:pPr>
              <w:rPr>
                <w:rFonts w:ascii="Arial" w:hAnsi="Arial" w:cs="Arial"/>
              </w:rPr>
            </w:pPr>
          </w:p>
        </w:tc>
        <w:tc>
          <w:tcPr>
            <w:tcW w:w="2835" w:type="dxa"/>
          </w:tcPr>
          <w:p w14:paraId="037E90F0" w14:textId="5BA76AD9" w:rsidR="00AC33D7" w:rsidRPr="00D52C0E" w:rsidRDefault="00B553D6" w:rsidP="00484A9F">
            <w:pPr>
              <w:rPr>
                <w:rFonts w:ascii="Arial" w:hAnsi="Arial" w:cs="Arial"/>
              </w:rPr>
            </w:pPr>
            <w:r w:rsidRPr="00D52C0E">
              <w:rPr>
                <w:rFonts w:ascii="Arial" w:hAnsi="Arial" w:cs="Arial"/>
              </w:rPr>
              <w:t>Working together and s</w:t>
            </w:r>
            <w:r w:rsidR="006D15D0" w:rsidRPr="00D52C0E">
              <w:rPr>
                <w:rFonts w:ascii="Arial" w:hAnsi="Arial" w:cs="Arial"/>
              </w:rPr>
              <w:t xml:space="preserve">haring </w:t>
            </w:r>
            <w:r w:rsidRPr="00D52C0E">
              <w:rPr>
                <w:rFonts w:ascii="Arial" w:hAnsi="Arial" w:cs="Arial"/>
              </w:rPr>
              <w:t>data</w:t>
            </w:r>
            <w:r w:rsidR="00D42F9A" w:rsidRPr="00D52C0E">
              <w:rPr>
                <w:rFonts w:ascii="Arial" w:hAnsi="Arial" w:cs="Arial"/>
              </w:rPr>
              <w:t xml:space="preserve"> </w:t>
            </w:r>
            <w:r w:rsidRPr="00D52C0E">
              <w:rPr>
                <w:rFonts w:ascii="Arial" w:hAnsi="Arial" w:cs="Arial"/>
              </w:rPr>
              <w:t>/</w:t>
            </w:r>
            <w:r w:rsidR="00D42F9A" w:rsidRPr="00D52C0E">
              <w:rPr>
                <w:rFonts w:ascii="Arial" w:hAnsi="Arial" w:cs="Arial"/>
              </w:rPr>
              <w:t xml:space="preserve"> </w:t>
            </w:r>
            <w:r w:rsidR="006D15D0" w:rsidRPr="00D52C0E">
              <w:rPr>
                <w:rFonts w:ascii="Arial" w:hAnsi="Arial" w:cs="Arial"/>
              </w:rPr>
              <w:t>information</w:t>
            </w:r>
            <w:r w:rsidR="002F79A6" w:rsidRPr="00D52C0E">
              <w:rPr>
                <w:rFonts w:ascii="Arial" w:hAnsi="Arial" w:cs="Arial"/>
              </w:rPr>
              <w:t xml:space="preserve"> to </w:t>
            </w:r>
            <w:r w:rsidR="00601D6E" w:rsidRPr="00D52C0E">
              <w:rPr>
                <w:rFonts w:ascii="Arial" w:hAnsi="Arial" w:cs="Arial"/>
              </w:rPr>
              <w:t xml:space="preserve">help </w:t>
            </w:r>
            <w:r w:rsidR="002F79A6" w:rsidRPr="00D52C0E">
              <w:rPr>
                <w:rFonts w:ascii="Arial" w:hAnsi="Arial" w:cs="Arial"/>
              </w:rPr>
              <w:t xml:space="preserve">support </w:t>
            </w:r>
            <w:r w:rsidR="00F90C6E" w:rsidRPr="00D52C0E">
              <w:rPr>
                <w:rFonts w:ascii="Arial" w:hAnsi="Arial" w:cs="Arial"/>
              </w:rPr>
              <w:t xml:space="preserve">services to </w:t>
            </w:r>
            <w:r w:rsidR="003F10A8" w:rsidRPr="00D52C0E">
              <w:rPr>
                <w:rFonts w:ascii="Arial" w:hAnsi="Arial" w:cs="Arial"/>
              </w:rPr>
              <w:t xml:space="preserve">improve and </w:t>
            </w:r>
            <w:r w:rsidR="00F90C6E" w:rsidRPr="00D52C0E">
              <w:rPr>
                <w:rFonts w:ascii="Arial" w:hAnsi="Arial" w:cs="Arial"/>
              </w:rPr>
              <w:t>provide</w:t>
            </w:r>
            <w:r w:rsidR="00480F60" w:rsidRPr="00D52C0E">
              <w:rPr>
                <w:rFonts w:ascii="Arial" w:hAnsi="Arial" w:cs="Arial"/>
              </w:rPr>
              <w:t xml:space="preserve"> </w:t>
            </w:r>
            <w:r w:rsidR="00884EEA" w:rsidRPr="00D52C0E">
              <w:rPr>
                <w:rFonts w:ascii="Arial" w:hAnsi="Arial" w:cs="Arial"/>
              </w:rPr>
              <w:t xml:space="preserve">high quality and safe </w:t>
            </w:r>
            <w:r w:rsidR="004B7AB8" w:rsidRPr="00D52C0E">
              <w:rPr>
                <w:rFonts w:ascii="Arial" w:hAnsi="Arial" w:cs="Arial"/>
              </w:rPr>
              <w:t xml:space="preserve">care </w:t>
            </w:r>
            <w:r w:rsidR="00EE71F1" w:rsidRPr="00D52C0E">
              <w:rPr>
                <w:rFonts w:ascii="Arial" w:hAnsi="Arial" w:cs="Arial"/>
              </w:rPr>
              <w:t>to patients</w:t>
            </w:r>
            <w:r w:rsidR="00E2075A" w:rsidRPr="00D52C0E">
              <w:rPr>
                <w:rFonts w:ascii="Arial" w:hAnsi="Arial" w:cs="Arial"/>
              </w:rPr>
              <w:t>.</w:t>
            </w:r>
          </w:p>
        </w:tc>
        <w:tc>
          <w:tcPr>
            <w:tcW w:w="2784" w:type="dxa"/>
          </w:tcPr>
          <w:p w14:paraId="298AF0D9" w14:textId="42626357" w:rsidR="00AC33D7" w:rsidRPr="00D52C0E" w:rsidRDefault="00966054" w:rsidP="00071B63">
            <w:pPr>
              <w:rPr>
                <w:rFonts w:ascii="Arial" w:hAnsi="Arial" w:cs="Arial"/>
              </w:rPr>
            </w:pPr>
            <w:r w:rsidRPr="00D52C0E">
              <w:rPr>
                <w:rFonts w:ascii="Arial" w:hAnsi="Arial" w:cs="Arial"/>
              </w:rPr>
              <w:t xml:space="preserve">Sharing information </w:t>
            </w:r>
            <w:r w:rsidR="00AA1A84" w:rsidRPr="00D52C0E">
              <w:rPr>
                <w:rFonts w:ascii="Arial" w:hAnsi="Arial" w:cs="Arial"/>
              </w:rPr>
              <w:t xml:space="preserve">and learning </w:t>
            </w:r>
            <w:r w:rsidR="005372C1" w:rsidRPr="00D52C0E">
              <w:rPr>
                <w:rFonts w:ascii="Arial" w:hAnsi="Arial" w:cs="Arial"/>
              </w:rPr>
              <w:t>(including</w:t>
            </w:r>
            <w:r w:rsidR="00A51338">
              <w:rPr>
                <w:rFonts w:ascii="Arial" w:hAnsi="Arial" w:cs="Arial"/>
              </w:rPr>
              <w:t xml:space="preserve"> </w:t>
            </w:r>
            <w:r w:rsidR="00B96AC9">
              <w:rPr>
                <w:rFonts w:ascii="Arial" w:hAnsi="Arial" w:cs="Arial"/>
              </w:rPr>
              <w:t>intelligence</w:t>
            </w:r>
            <w:r w:rsidR="005372C1" w:rsidRPr="00D52C0E">
              <w:rPr>
                <w:rFonts w:ascii="Arial" w:hAnsi="Arial" w:cs="Arial"/>
              </w:rPr>
              <w:t xml:space="preserve">) </w:t>
            </w:r>
            <w:r w:rsidR="00AA1A84" w:rsidRPr="00D52C0E">
              <w:rPr>
                <w:rFonts w:ascii="Arial" w:hAnsi="Arial" w:cs="Arial"/>
              </w:rPr>
              <w:t xml:space="preserve">at the earliest opportunity to enable </w:t>
            </w:r>
            <w:r w:rsidR="00B96AC9">
              <w:rPr>
                <w:rFonts w:ascii="Arial" w:hAnsi="Arial" w:cs="Arial"/>
              </w:rPr>
              <w:t xml:space="preserve">front line </w:t>
            </w:r>
            <w:r w:rsidR="00340DAA" w:rsidRPr="00D52C0E">
              <w:rPr>
                <w:rFonts w:ascii="Arial" w:hAnsi="Arial" w:cs="Arial"/>
              </w:rPr>
              <w:t>services to</w:t>
            </w:r>
            <w:r w:rsidR="00A77F0A" w:rsidRPr="00D52C0E">
              <w:rPr>
                <w:rFonts w:ascii="Arial" w:hAnsi="Arial" w:cs="Arial"/>
              </w:rPr>
              <w:t xml:space="preserve"> remain </w:t>
            </w:r>
            <w:r w:rsidR="00FE21A5" w:rsidRPr="00D52C0E">
              <w:rPr>
                <w:rFonts w:ascii="Arial" w:hAnsi="Arial" w:cs="Arial"/>
              </w:rPr>
              <w:t>proactive</w:t>
            </w:r>
            <w:r w:rsidR="000D14D0" w:rsidRPr="00D52C0E">
              <w:rPr>
                <w:rFonts w:ascii="Arial" w:hAnsi="Arial" w:cs="Arial"/>
              </w:rPr>
              <w:t xml:space="preserve"> and responsive</w:t>
            </w:r>
            <w:r w:rsidR="00FE21A5" w:rsidRPr="00D52C0E">
              <w:rPr>
                <w:rFonts w:ascii="Arial" w:hAnsi="Arial" w:cs="Arial"/>
              </w:rPr>
              <w:t xml:space="preserve"> in</w:t>
            </w:r>
            <w:r w:rsidR="000D14D0" w:rsidRPr="00D52C0E">
              <w:rPr>
                <w:rFonts w:ascii="Arial" w:hAnsi="Arial" w:cs="Arial"/>
              </w:rPr>
              <w:t xml:space="preserve"> the provision of</w:t>
            </w:r>
            <w:r w:rsidR="00340DAA" w:rsidRPr="00D52C0E">
              <w:rPr>
                <w:rFonts w:ascii="Arial" w:hAnsi="Arial" w:cs="Arial"/>
              </w:rPr>
              <w:t xml:space="preserve"> safe and high</w:t>
            </w:r>
            <w:r w:rsidR="00646DD9" w:rsidRPr="00D52C0E">
              <w:rPr>
                <w:rFonts w:ascii="Arial" w:hAnsi="Arial" w:cs="Arial"/>
              </w:rPr>
              <w:t>-</w:t>
            </w:r>
            <w:r w:rsidR="00340DAA" w:rsidRPr="00D52C0E">
              <w:rPr>
                <w:rFonts w:ascii="Arial" w:hAnsi="Arial" w:cs="Arial"/>
              </w:rPr>
              <w:t>quality care</w:t>
            </w:r>
            <w:r w:rsidRPr="00D52C0E">
              <w:rPr>
                <w:rFonts w:ascii="Arial" w:hAnsi="Arial" w:cs="Arial"/>
              </w:rPr>
              <w:t xml:space="preserve"> </w:t>
            </w:r>
          </w:p>
        </w:tc>
      </w:tr>
    </w:tbl>
    <w:p w14:paraId="11305F49" w14:textId="3EC57F7D" w:rsidR="00BD6FF7" w:rsidRPr="00D52C0E" w:rsidRDefault="00BD6FF7" w:rsidP="00484A9F">
      <w:pPr>
        <w:rPr>
          <w:rFonts w:ascii="Arial" w:hAnsi="Arial" w:cs="Arial"/>
        </w:rPr>
      </w:pPr>
    </w:p>
    <w:p w14:paraId="3931D690" w14:textId="09F47E27" w:rsidR="008B2B58" w:rsidRPr="00D52C0E" w:rsidRDefault="000D0B08" w:rsidP="0030415F">
      <w:pPr>
        <w:pStyle w:val="ListParagraph"/>
        <w:numPr>
          <w:ilvl w:val="0"/>
          <w:numId w:val="4"/>
        </w:numPr>
        <w:rPr>
          <w:rFonts w:ascii="Arial" w:hAnsi="Arial" w:cs="Arial"/>
        </w:rPr>
      </w:pPr>
      <w:r w:rsidRPr="00D52C0E">
        <w:rPr>
          <w:rFonts w:ascii="Arial" w:hAnsi="Arial" w:cs="Arial"/>
        </w:rPr>
        <w:t xml:space="preserve">More </w:t>
      </w:r>
      <w:r w:rsidR="008B2B58" w:rsidRPr="00D52C0E">
        <w:rPr>
          <w:rFonts w:ascii="Arial" w:hAnsi="Arial" w:cs="Arial"/>
        </w:rPr>
        <w:t>specifically, this will involve CQC and NHS</w:t>
      </w:r>
      <w:r w:rsidR="00B96AC9">
        <w:rPr>
          <w:rFonts w:ascii="Arial" w:hAnsi="Arial" w:cs="Arial"/>
        </w:rPr>
        <w:t xml:space="preserve"> </w:t>
      </w:r>
      <w:r w:rsidR="008B2B58" w:rsidRPr="00D52C0E">
        <w:rPr>
          <w:rFonts w:ascii="Arial" w:hAnsi="Arial" w:cs="Arial"/>
        </w:rPr>
        <w:t>R</w:t>
      </w:r>
      <w:r w:rsidR="00B96AC9">
        <w:rPr>
          <w:rFonts w:ascii="Arial" w:hAnsi="Arial" w:cs="Arial"/>
        </w:rPr>
        <w:t>esolution</w:t>
      </w:r>
      <w:r w:rsidR="008B2B58" w:rsidRPr="00D52C0E">
        <w:rPr>
          <w:rFonts w:ascii="Arial" w:hAnsi="Arial" w:cs="Arial"/>
        </w:rPr>
        <w:t xml:space="preserve">, acting in the public interest by sharing data and information of concern relating to patient safety, the quality of care and any other information each organisation considers relevant </w:t>
      </w:r>
      <w:r w:rsidR="00936FF2">
        <w:rPr>
          <w:rFonts w:ascii="Arial" w:hAnsi="Arial" w:cs="Arial"/>
        </w:rPr>
        <w:t>o</w:t>
      </w:r>
      <w:r w:rsidR="00936FF2" w:rsidRPr="00F21B5F">
        <w:rPr>
          <w:rFonts w:ascii="Arial" w:hAnsi="Arial" w:cs="Arial"/>
        </w:rPr>
        <w:t>n a regular, timely and ongoing basis</w:t>
      </w:r>
      <w:r w:rsidR="00416380" w:rsidRPr="00D52C0E">
        <w:rPr>
          <w:rFonts w:ascii="Arial" w:hAnsi="Arial" w:cs="Arial"/>
        </w:rPr>
        <w:t>. This will include</w:t>
      </w:r>
      <w:r w:rsidR="00F15CDB">
        <w:rPr>
          <w:rFonts w:ascii="Arial" w:hAnsi="Arial" w:cs="Arial"/>
        </w:rPr>
        <w:t xml:space="preserve"> the following which is not exhaustive</w:t>
      </w:r>
      <w:r w:rsidR="008B2B58" w:rsidRPr="00D52C0E">
        <w:rPr>
          <w:rFonts w:ascii="Arial" w:hAnsi="Arial" w:cs="Arial"/>
        </w:rPr>
        <w:t>:</w:t>
      </w:r>
    </w:p>
    <w:p w14:paraId="2D852573" w14:textId="77777777" w:rsidR="00455E8C" w:rsidRPr="00D52C0E" w:rsidRDefault="00455E8C" w:rsidP="00484A9F">
      <w:pPr>
        <w:rPr>
          <w:rFonts w:ascii="Arial" w:hAnsi="Arial" w:cs="Arial"/>
        </w:rPr>
      </w:pPr>
    </w:p>
    <w:p w14:paraId="417792B3" w14:textId="5048B5DD" w:rsidR="007A3625" w:rsidRPr="00ED2EA6" w:rsidRDefault="00852949" w:rsidP="0030415F">
      <w:pPr>
        <w:pStyle w:val="ListParagraph"/>
        <w:numPr>
          <w:ilvl w:val="0"/>
          <w:numId w:val="3"/>
        </w:numPr>
        <w:spacing w:after="120"/>
        <w:ind w:left="357" w:hanging="357"/>
        <w:contextualSpacing w:val="0"/>
        <w:rPr>
          <w:rFonts w:ascii="Arial" w:hAnsi="Arial" w:cs="Arial"/>
        </w:rPr>
      </w:pPr>
      <w:r w:rsidRPr="00D52C0E">
        <w:rPr>
          <w:rFonts w:ascii="Arial" w:hAnsi="Arial" w:cs="Arial"/>
        </w:rPr>
        <w:t xml:space="preserve">Sharing information </w:t>
      </w:r>
      <w:r w:rsidR="00BD5D9D" w:rsidRPr="00D52C0E">
        <w:rPr>
          <w:rFonts w:ascii="Arial" w:hAnsi="Arial" w:cs="Arial"/>
        </w:rPr>
        <w:t xml:space="preserve">and supporting </w:t>
      </w:r>
      <w:r w:rsidR="00416380" w:rsidRPr="00D52C0E">
        <w:rPr>
          <w:rFonts w:ascii="Arial" w:hAnsi="Arial" w:cs="Arial"/>
        </w:rPr>
        <w:t>each other’s</w:t>
      </w:r>
      <w:r w:rsidR="00BD5D9D" w:rsidRPr="00D52C0E">
        <w:rPr>
          <w:rFonts w:ascii="Arial" w:hAnsi="Arial" w:cs="Arial"/>
        </w:rPr>
        <w:t xml:space="preserve"> roles and focus </w:t>
      </w:r>
      <w:r w:rsidR="00B41B96" w:rsidRPr="00D52C0E">
        <w:rPr>
          <w:rFonts w:ascii="Arial" w:hAnsi="Arial" w:cs="Arial"/>
        </w:rPr>
        <w:t xml:space="preserve">on </w:t>
      </w:r>
      <w:r w:rsidR="00F8017F" w:rsidRPr="00D52C0E">
        <w:rPr>
          <w:rFonts w:ascii="Arial" w:hAnsi="Arial" w:cs="Arial"/>
        </w:rPr>
        <w:t xml:space="preserve">(a) </w:t>
      </w:r>
      <w:r w:rsidR="00B41B96" w:rsidRPr="00D52C0E">
        <w:rPr>
          <w:rFonts w:ascii="Arial" w:hAnsi="Arial" w:cs="Arial"/>
        </w:rPr>
        <w:t xml:space="preserve">the safety and </w:t>
      </w:r>
      <w:r w:rsidR="00B41B96" w:rsidRPr="00ED2EA6">
        <w:rPr>
          <w:rFonts w:ascii="Arial" w:hAnsi="Arial" w:cs="Arial"/>
        </w:rPr>
        <w:t xml:space="preserve">quality of care provided for individuals receiving </w:t>
      </w:r>
      <w:r w:rsidR="00827E3E" w:rsidRPr="00ED2EA6">
        <w:rPr>
          <w:rFonts w:ascii="Arial" w:hAnsi="Arial" w:cs="Arial"/>
        </w:rPr>
        <w:t xml:space="preserve">health </w:t>
      </w:r>
      <w:r w:rsidR="0074012A" w:rsidRPr="00ED2EA6">
        <w:rPr>
          <w:rFonts w:ascii="Arial" w:hAnsi="Arial" w:cs="Arial"/>
        </w:rPr>
        <w:t xml:space="preserve">and social </w:t>
      </w:r>
      <w:r w:rsidR="00827E3E" w:rsidRPr="00ED2EA6">
        <w:rPr>
          <w:rFonts w:ascii="Arial" w:hAnsi="Arial" w:cs="Arial"/>
        </w:rPr>
        <w:t>care in England</w:t>
      </w:r>
      <w:r w:rsidR="0070006E" w:rsidRPr="00ED2EA6">
        <w:rPr>
          <w:rFonts w:ascii="Arial" w:hAnsi="Arial" w:cs="Arial"/>
        </w:rPr>
        <w:t xml:space="preserve">; </w:t>
      </w:r>
      <w:r w:rsidR="00F8017F" w:rsidRPr="00ED2EA6">
        <w:rPr>
          <w:rFonts w:ascii="Arial" w:hAnsi="Arial" w:cs="Arial"/>
        </w:rPr>
        <w:t xml:space="preserve">(b) </w:t>
      </w:r>
      <w:r w:rsidR="0070006E" w:rsidRPr="00ED2EA6">
        <w:rPr>
          <w:rFonts w:ascii="Arial" w:hAnsi="Arial" w:cs="Arial"/>
        </w:rPr>
        <w:t>support</w:t>
      </w:r>
      <w:r w:rsidR="00416380" w:rsidRPr="00ED2EA6">
        <w:rPr>
          <w:rFonts w:ascii="Arial" w:hAnsi="Arial" w:cs="Arial"/>
        </w:rPr>
        <w:t>ing</w:t>
      </w:r>
      <w:r w:rsidR="0070006E" w:rsidRPr="00ED2EA6">
        <w:rPr>
          <w:rFonts w:ascii="Arial" w:hAnsi="Arial" w:cs="Arial"/>
        </w:rPr>
        <w:t xml:space="preserve"> and </w:t>
      </w:r>
      <w:r w:rsidR="007429A8" w:rsidRPr="00ED2EA6">
        <w:rPr>
          <w:rFonts w:ascii="Arial" w:hAnsi="Arial" w:cs="Arial"/>
        </w:rPr>
        <w:t>inform</w:t>
      </w:r>
      <w:r w:rsidR="00416380" w:rsidRPr="00ED2EA6">
        <w:rPr>
          <w:rFonts w:ascii="Arial" w:hAnsi="Arial" w:cs="Arial"/>
        </w:rPr>
        <w:t>ing</w:t>
      </w:r>
      <w:r w:rsidR="007429A8" w:rsidRPr="00ED2EA6">
        <w:rPr>
          <w:rFonts w:ascii="Arial" w:hAnsi="Arial" w:cs="Arial"/>
        </w:rPr>
        <w:t xml:space="preserve"> the regulatory functions of CQC through its inspection, registration</w:t>
      </w:r>
      <w:r w:rsidR="003F62F7" w:rsidRPr="00ED2EA6">
        <w:rPr>
          <w:rFonts w:ascii="Arial" w:hAnsi="Arial" w:cs="Arial"/>
        </w:rPr>
        <w:t>, enforcement</w:t>
      </w:r>
      <w:r w:rsidR="00F8017F" w:rsidRPr="00ED2EA6">
        <w:rPr>
          <w:rFonts w:ascii="Arial" w:hAnsi="Arial" w:cs="Arial"/>
        </w:rPr>
        <w:t>; and (c)</w:t>
      </w:r>
      <w:r w:rsidR="007429A8" w:rsidRPr="00ED2EA6">
        <w:rPr>
          <w:rFonts w:ascii="Arial" w:hAnsi="Arial" w:cs="Arial"/>
        </w:rPr>
        <w:t xml:space="preserve"> monitoring of providers of independent healthcare and </w:t>
      </w:r>
      <w:r w:rsidR="00722AB1" w:rsidRPr="00ED2EA6">
        <w:rPr>
          <w:rFonts w:ascii="Arial" w:hAnsi="Arial" w:cs="Arial"/>
        </w:rPr>
        <w:t>meet</w:t>
      </w:r>
      <w:r w:rsidR="00F8017F" w:rsidRPr="00ED2EA6">
        <w:rPr>
          <w:rFonts w:ascii="Arial" w:hAnsi="Arial" w:cs="Arial"/>
        </w:rPr>
        <w:t>ing</w:t>
      </w:r>
      <w:r w:rsidR="00722AB1" w:rsidRPr="00ED2EA6">
        <w:rPr>
          <w:rFonts w:ascii="Arial" w:hAnsi="Arial" w:cs="Arial"/>
        </w:rPr>
        <w:t xml:space="preserve"> </w:t>
      </w:r>
      <w:r w:rsidR="007429A8" w:rsidRPr="00ED2EA6">
        <w:rPr>
          <w:rFonts w:ascii="Arial" w:hAnsi="Arial" w:cs="Arial"/>
        </w:rPr>
        <w:t xml:space="preserve">the remit of </w:t>
      </w:r>
      <w:r w:rsidR="009D5656" w:rsidRPr="00ED2EA6">
        <w:rPr>
          <w:rFonts w:ascii="Arial" w:hAnsi="Arial" w:cs="Arial"/>
        </w:rPr>
        <w:t xml:space="preserve">NHS </w:t>
      </w:r>
      <w:r w:rsidR="00DC5817" w:rsidRPr="00ED2EA6">
        <w:rPr>
          <w:rFonts w:ascii="Arial" w:hAnsi="Arial" w:cs="Arial"/>
        </w:rPr>
        <w:t xml:space="preserve">Resolution which includes the safety and learning Directions issued by the Secretary of State for Health and Social Care. </w:t>
      </w:r>
    </w:p>
    <w:p w14:paraId="734DD170" w14:textId="40DE73FB" w:rsidR="007A3625" w:rsidRPr="00ED2EA6" w:rsidRDefault="00B242D5" w:rsidP="0030415F">
      <w:pPr>
        <w:pStyle w:val="ListParagraph"/>
        <w:numPr>
          <w:ilvl w:val="0"/>
          <w:numId w:val="3"/>
        </w:numPr>
        <w:spacing w:after="120"/>
        <w:ind w:left="357" w:hanging="357"/>
        <w:contextualSpacing w:val="0"/>
        <w:rPr>
          <w:rFonts w:ascii="Arial" w:hAnsi="Arial" w:cs="Arial"/>
        </w:rPr>
      </w:pPr>
      <w:r>
        <w:rPr>
          <w:rFonts w:ascii="Arial" w:hAnsi="Arial" w:cs="Arial"/>
        </w:rPr>
        <w:t>Sharing</w:t>
      </w:r>
      <w:r w:rsidR="00B96AC9">
        <w:rPr>
          <w:rFonts w:ascii="Arial" w:hAnsi="Arial" w:cs="Arial"/>
        </w:rPr>
        <w:t xml:space="preserve"> </w:t>
      </w:r>
      <w:r w:rsidR="007A3625" w:rsidRPr="00ED2EA6">
        <w:rPr>
          <w:rFonts w:ascii="Arial" w:hAnsi="Arial" w:cs="Arial"/>
        </w:rPr>
        <w:t>published CQC inspection reports and intelligence about healthcare providers that are relevant to N</w:t>
      </w:r>
      <w:r w:rsidR="009964A8" w:rsidRPr="00ED2EA6">
        <w:rPr>
          <w:rFonts w:ascii="Arial" w:hAnsi="Arial" w:cs="Arial"/>
        </w:rPr>
        <w:t>H</w:t>
      </w:r>
      <w:r w:rsidR="007A3625" w:rsidRPr="00ED2EA6">
        <w:rPr>
          <w:rFonts w:ascii="Arial" w:hAnsi="Arial" w:cs="Arial"/>
        </w:rPr>
        <w:t>S</w:t>
      </w:r>
      <w:r w:rsidR="00B96AC9">
        <w:rPr>
          <w:rFonts w:ascii="Arial" w:hAnsi="Arial" w:cs="Arial"/>
        </w:rPr>
        <w:t xml:space="preserve"> </w:t>
      </w:r>
      <w:r w:rsidR="009964A8" w:rsidRPr="00ED2EA6">
        <w:rPr>
          <w:rFonts w:ascii="Arial" w:hAnsi="Arial" w:cs="Arial"/>
        </w:rPr>
        <w:t>R</w:t>
      </w:r>
      <w:r w:rsidR="00B96AC9">
        <w:rPr>
          <w:rFonts w:ascii="Arial" w:hAnsi="Arial" w:cs="Arial"/>
        </w:rPr>
        <w:t>esolution</w:t>
      </w:r>
      <w:r w:rsidR="007A3625" w:rsidRPr="00ED2EA6">
        <w:rPr>
          <w:rFonts w:ascii="Arial" w:hAnsi="Arial" w:cs="Arial"/>
        </w:rPr>
        <w:t xml:space="preserve"> investigations, and updating about progress and outcomes</w:t>
      </w:r>
    </w:p>
    <w:p w14:paraId="0B689F0A" w14:textId="745F3EBB" w:rsidR="007A3625" w:rsidRPr="00ED2EA6" w:rsidRDefault="007A3625" w:rsidP="0030415F">
      <w:pPr>
        <w:pStyle w:val="ListParagraph"/>
        <w:numPr>
          <w:ilvl w:val="0"/>
          <w:numId w:val="3"/>
        </w:numPr>
        <w:spacing w:after="120"/>
        <w:ind w:left="357" w:hanging="357"/>
        <w:contextualSpacing w:val="0"/>
        <w:rPr>
          <w:rFonts w:ascii="Arial" w:hAnsi="Arial" w:cs="Arial"/>
        </w:rPr>
      </w:pPr>
      <w:r w:rsidRPr="00ED2EA6">
        <w:rPr>
          <w:rFonts w:ascii="Arial" w:hAnsi="Arial" w:cs="Arial"/>
        </w:rPr>
        <w:t xml:space="preserve">Sharing of relevant </w:t>
      </w:r>
      <w:r w:rsidR="00B242D5">
        <w:rPr>
          <w:rFonts w:ascii="Arial" w:hAnsi="Arial" w:cs="Arial"/>
        </w:rPr>
        <w:t xml:space="preserve">data </w:t>
      </w:r>
      <w:r w:rsidRPr="00ED2EA6">
        <w:rPr>
          <w:rFonts w:ascii="Arial" w:hAnsi="Arial" w:cs="Arial"/>
        </w:rPr>
        <w:t xml:space="preserve">across our respective organisations to support the early identification and understanding of concerns relating to clinical teams which find themselves in significant difficulty </w:t>
      </w:r>
    </w:p>
    <w:p w14:paraId="59D9C612" w14:textId="6C79A2D9" w:rsidR="00B242D5" w:rsidRDefault="009530FB" w:rsidP="0030415F">
      <w:pPr>
        <w:pStyle w:val="ListParagraph"/>
        <w:numPr>
          <w:ilvl w:val="0"/>
          <w:numId w:val="3"/>
        </w:numPr>
        <w:spacing w:after="120"/>
        <w:ind w:left="357" w:hanging="357"/>
        <w:contextualSpacing w:val="0"/>
        <w:rPr>
          <w:rFonts w:ascii="Arial" w:hAnsi="Arial" w:cs="Arial"/>
        </w:rPr>
      </w:pPr>
      <w:r w:rsidRPr="00ED2EA6">
        <w:rPr>
          <w:rFonts w:ascii="Arial" w:hAnsi="Arial" w:cs="Arial"/>
        </w:rPr>
        <w:t xml:space="preserve">Working in partnership in order to </w:t>
      </w:r>
      <w:r w:rsidR="002E3596" w:rsidRPr="00ED2EA6">
        <w:rPr>
          <w:rFonts w:ascii="Arial" w:hAnsi="Arial" w:cs="Arial"/>
        </w:rPr>
        <w:t>rais</w:t>
      </w:r>
      <w:r w:rsidR="00C23E80" w:rsidRPr="00ED2EA6">
        <w:rPr>
          <w:rFonts w:ascii="Arial" w:hAnsi="Arial" w:cs="Arial"/>
        </w:rPr>
        <w:t>e</w:t>
      </w:r>
      <w:r w:rsidR="002E3596" w:rsidRPr="00ED2EA6">
        <w:rPr>
          <w:rFonts w:ascii="Arial" w:hAnsi="Arial" w:cs="Arial"/>
        </w:rPr>
        <w:t xml:space="preserve"> concerns at the earliest opportunity where CQC or NHS</w:t>
      </w:r>
      <w:r w:rsidR="00B96AC9">
        <w:rPr>
          <w:rFonts w:ascii="Arial" w:hAnsi="Arial" w:cs="Arial"/>
        </w:rPr>
        <w:t xml:space="preserve"> </w:t>
      </w:r>
      <w:r w:rsidR="002E3596" w:rsidRPr="00ED2EA6">
        <w:rPr>
          <w:rFonts w:ascii="Arial" w:hAnsi="Arial" w:cs="Arial"/>
        </w:rPr>
        <w:t>R</w:t>
      </w:r>
      <w:r w:rsidR="00B96AC9">
        <w:rPr>
          <w:rFonts w:ascii="Arial" w:hAnsi="Arial" w:cs="Arial"/>
        </w:rPr>
        <w:t>esolution</w:t>
      </w:r>
      <w:r w:rsidR="002E3596" w:rsidRPr="00ED2EA6">
        <w:rPr>
          <w:rFonts w:ascii="Arial" w:hAnsi="Arial" w:cs="Arial"/>
        </w:rPr>
        <w:t xml:space="preserve"> encounter or identify concerns which either believe may fall into the remit of the other</w:t>
      </w:r>
      <w:r w:rsidR="00B242D5">
        <w:rPr>
          <w:rFonts w:ascii="Arial" w:hAnsi="Arial" w:cs="Arial"/>
        </w:rPr>
        <w:t>.</w:t>
      </w:r>
      <w:r w:rsidR="002E3596" w:rsidRPr="00ED2EA6">
        <w:rPr>
          <w:rFonts w:ascii="Arial" w:hAnsi="Arial" w:cs="Arial"/>
        </w:rPr>
        <w:t xml:space="preserve"> This must not </w:t>
      </w:r>
      <w:r w:rsidR="003B4C20" w:rsidRPr="00ED2EA6">
        <w:rPr>
          <w:rFonts w:ascii="Arial" w:hAnsi="Arial" w:cs="Arial"/>
        </w:rPr>
        <w:t xml:space="preserve">be contrary </w:t>
      </w:r>
      <w:r w:rsidR="004B0B14" w:rsidRPr="00ED2EA6">
        <w:rPr>
          <w:rFonts w:ascii="Arial" w:hAnsi="Arial" w:cs="Arial"/>
        </w:rPr>
        <w:t>to the</w:t>
      </w:r>
      <w:r w:rsidR="002E3596" w:rsidRPr="00ED2EA6">
        <w:rPr>
          <w:rFonts w:ascii="Arial" w:hAnsi="Arial" w:cs="Arial"/>
        </w:rPr>
        <w:t xml:space="preserve"> requirements set out for each organisation in either legislation or Secretary of State Directions. </w:t>
      </w:r>
    </w:p>
    <w:p w14:paraId="22C34F13" w14:textId="12E798B3" w:rsidR="006813DD" w:rsidRPr="00B242D5" w:rsidRDefault="00722AB1" w:rsidP="0030415F">
      <w:pPr>
        <w:pStyle w:val="ListParagraph"/>
        <w:numPr>
          <w:ilvl w:val="0"/>
          <w:numId w:val="3"/>
        </w:numPr>
        <w:spacing w:after="120"/>
        <w:ind w:left="357" w:hanging="357"/>
        <w:contextualSpacing w:val="0"/>
        <w:rPr>
          <w:rFonts w:ascii="Arial" w:hAnsi="Arial" w:cs="Arial"/>
        </w:rPr>
      </w:pPr>
      <w:r w:rsidRPr="00B242D5">
        <w:rPr>
          <w:rFonts w:ascii="Arial" w:hAnsi="Arial" w:cs="Arial"/>
        </w:rPr>
        <w:t>Promoting</w:t>
      </w:r>
      <w:r w:rsidR="00DC5817" w:rsidRPr="00B242D5">
        <w:rPr>
          <w:rFonts w:ascii="Arial" w:hAnsi="Arial" w:cs="Arial"/>
        </w:rPr>
        <w:t xml:space="preserve"> </w:t>
      </w:r>
      <w:r w:rsidRPr="00B242D5">
        <w:rPr>
          <w:rFonts w:ascii="Arial" w:hAnsi="Arial" w:cs="Arial"/>
        </w:rPr>
        <w:t>an</w:t>
      </w:r>
      <w:r w:rsidR="00DC5817" w:rsidRPr="00B242D5">
        <w:rPr>
          <w:rFonts w:ascii="Arial" w:hAnsi="Arial" w:cs="Arial"/>
        </w:rPr>
        <w:t>d disseminatin</w:t>
      </w:r>
      <w:r w:rsidRPr="00B242D5">
        <w:rPr>
          <w:rFonts w:ascii="Arial" w:hAnsi="Arial" w:cs="Arial"/>
        </w:rPr>
        <w:t>g</w:t>
      </w:r>
      <w:r w:rsidR="00DC5817" w:rsidRPr="00B242D5">
        <w:rPr>
          <w:rFonts w:ascii="Arial" w:hAnsi="Arial" w:cs="Arial"/>
        </w:rPr>
        <w:t xml:space="preserve"> information </w:t>
      </w:r>
      <w:r w:rsidR="003240C4" w:rsidRPr="00B242D5">
        <w:rPr>
          <w:rFonts w:ascii="Arial" w:hAnsi="Arial" w:cs="Arial"/>
        </w:rPr>
        <w:t>and learning</w:t>
      </w:r>
      <w:r w:rsidR="00DC5817" w:rsidRPr="00B242D5">
        <w:rPr>
          <w:rFonts w:ascii="Arial" w:hAnsi="Arial" w:cs="Arial"/>
        </w:rPr>
        <w:t xml:space="preserve"> obtained and generated by</w:t>
      </w:r>
      <w:r w:rsidR="00EC61E2" w:rsidRPr="00B242D5">
        <w:rPr>
          <w:rFonts w:ascii="Arial" w:hAnsi="Arial" w:cs="Arial"/>
        </w:rPr>
        <w:t xml:space="preserve"> </w:t>
      </w:r>
      <w:r w:rsidR="0004469B" w:rsidRPr="00B242D5">
        <w:rPr>
          <w:rFonts w:ascii="Arial" w:hAnsi="Arial" w:cs="Arial"/>
        </w:rPr>
        <w:t xml:space="preserve">(a) </w:t>
      </w:r>
      <w:r w:rsidR="00DC5817" w:rsidRPr="00B242D5">
        <w:rPr>
          <w:rFonts w:ascii="Arial" w:hAnsi="Arial" w:cs="Arial"/>
        </w:rPr>
        <w:t xml:space="preserve">the administration of one or more of the </w:t>
      </w:r>
      <w:r w:rsidR="003240C4" w:rsidRPr="00B242D5">
        <w:rPr>
          <w:rFonts w:ascii="Arial" w:hAnsi="Arial" w:cs="Arial"/>
        </w:rPr>
        <w:t>NHS</w:t>
      </w:r>
      <w:r w:rsidR="00B96AC9" w:rsidRPr="00B242D5">
        <w:rPr>
          <w:rFonts w:ascii="Arial" w:hAnsi="Arial" w:cs="Arial"/>
        </w:rPr>
        <w:t xml:space="preserve"> </w:t>
      </w:r>
      <w:r w:rsidR="003240C4" w:rsidRPr="00B242D5">
        <w:rPr>
          <w:rFonts w:ascii="Arial" w:hAnsi="Arial" w:cs="Arial"/>
        </w:rPr>
        <w:t>R</w:t>
      </w:r>
      <w:r w:rsidR="00B96AC9" w:rsidRPr="00B242D5">
        <w:rPr>
          <w:rFonts w:ascii="Arial" w:hAnsi="Arial" w:cs="Arial"/>
        </w:rPr>
        <w:t>esolution</w:t>
      </w:r>
      <w:r w:rsidR="00DC5817" w:rsidRPr="00B242D5">
        <w:rPr>
          <w:rFonts w:ascii="Arial" w:hAnsi="Arial" w:cs="Arial"/>
        </w:rPr>
        <w:t xml:space="preserve"> Schemes; and (b) the quality and safety of services provided, as part of the health service</w:t>
      </w:r>
      <w:r w:rsidR="00C146B8" w:rsidRPr="00B242D5">
        <w:rPr>
          <w:rFonts w:ascii="Arial" w:hAnsi="Arial" w:cs="Arial"/>
        </w:rPr>
        <w:t xml:space="preserve">; and </w:t>
      </w:r>
      <w:r w:rsidR="00E51C25" w:rsidRPr="00B242D5">
        <w:rPr>
          <w:rFonts w:ascii="Arial" w:hAnsi="Arial" w:cs="Arial"/>
        </w:rPr>
        <w:t xml:space="preserve">in respect of </w:t>
      </w:r>
      <w:r w:rsidR="002C0B3B" w:rsidRPr="00B242D5">
        <w:rPr>
          <w:rFonts w:ascii="Arial" w:hAnsi="Arial" w:cs="Arial"/>
        </w:rPr>
        <w:t>CQC reports where</w:t>
      </w:r>
      <w:r w:rsidR="00E51C25" w:rsidRPr="00B242D5">
        <w:rPr>
          <w:rFonts w:ascii="Arial" w:hAnsi="Arial" w:cs="Arial"/>
        </w:rPr>
        <w:t xml:space="preserve"> specific learning may help to drive improvements in patient safety and quality of </w:t>
      </w:r>
      <w:r w:rsidR="005C1A36" w:rsidRPr="00B242D5">
        <w:rPr>
          <w:rFonts w:ascii="Arial" w:hAnsi="Arial" w:cs="Arial"/>
        </w:rPr>
        <w:t xml:space="preserve">care </w:t>
      </w:r>
      <w:r w:rsidR="00E51C25" w:rsidRPr="00B242D5">
        <w:rPr>
          <w:rFonts w:ascii="Arial" w:hAnsi="Arial" w:cs="Arial"/>
        </w:rPr>
        <w:t>servi</w:t>
      </w:r>
      <w:r w:rsidR="008C1E17" w:rsidRPr="00B242D5">
        <w:rPr>
          <w:rFonts w:ascii="Arial" w:hAnsi="Arial" w:cs="Arial"/>
        </w:rPr>
        <w:t>ces</w:t>
      </w:r>
      <w:r w:rsidR="005C1A36" w:rsidRPr="00B242D5">
        <w:rPr>
          <w:rFonts w:ascii="Arial" w:hAnsi="Arial" w:cs="Arial"/>
        </w:rPr>
        <w:t>.</w:t>
      </w:r>
    </w:p>
    <w:p w14:paraId="3EDA83A2" w14:textId="07DEAA08" w:rsidR="00EF2655" w:rsidRDefault="003047BF" w:rsidP="0030415F">
      <w:pPr>
        <w:pStyle w:val="ListParagraph"/>
        <w:numPr>
          <w:ilvl w:val="0"/>
          <w:numId w:val="5"/>
        </w:numPr>
        <w:rPr>
          <w:rFonts w:ascii="Arial" w:hAnsi="Arial" w:cs="Arial"/>
        </w:rPr>
      </w:pPr>
      <w:r>
        <w:rPr>
          <w:rFonts w:ascii="Arial" w:hAnsi="Arial" w:cs="Arial"/>
        </w:rPr>
        <w:t>S</w:t>
      </w:r>
      <w:r w:rsidR="00B63D9B">
        <w:rPr>
          <w:rFonts w:ascii="Arial" w:hAnsi="Arial" w:cs="Arial"/>
        </w:rPr>
        <w:t>ubject to there being a clear legal basis on which both organisations can do so, s</w:t>
      </w:r>
      <w:r>
        <w:rPr>
          <w:rFonts w:ascii="Arial" w:hAnsi="Arial" w:cs="Arial"/>
        </w:rPr>
        <w:t xml:space="preserve">haring </w:t>
      </w:r>
      <w:r w:rsidR="006813DD" w:rsidRPr="006813DD">
        <w:rPr>
          <w:rFonts w:ascii="Arial" w:hAnsi="Arial" w:cs="Arial"/>
        </w:rPr>
        <w:t xml:space="preserve">information on issues </w:t>
      </w:r>
      <w:r w:rsidR="00071B63">
        <w:rPr>
          <w:rFonts w:ascii="Arial" w:hAnsi="Arial" w:cs="Arial"/>
        </w:rPr>
        <w:t xml:space="preserve">which may relate </w:t>
      </w:r>
      <w:r w:rsidR="006813DD" w:rsidRPr="006813DD">
        <w:rPr>
          <w:rFonts w:ascii="Arial" w:hAnsi="Arial" w:cs="Arial"/>
        </w:rPr>
        <w:t>to Duty of Candour, Freedom to Speak Up and Whistleblowing, and co-ordinat</w:t>
      </w:r>
      <w:r w:rsidR="00622D40">
        <w:rPr>
          <w:rFonts w:ascii="Arial" w:hAnsi="Arial" w:cs="Arial"/>
        </w:rPr>
        <w:t xml:space="preserve">ion of </w:t>
      </w:r>
      <w:r w:rsidR="006813DD" w:rsidRPr="006813DD">
        <w:rPr>
          <w:rFonts w:ascii="Arial" w:hAnsi="Arial" w:cs="Arial"/>
        </w:rPr>
        <w:t xml:space="preserve">the production and dissemination of briefings and guidance to inspectors / investigators and health and social care providers. </w:t>
      </w:r>
    </w:p>
    <w:p w14:paraId="3D897F7E" w14:textId="77777777" w:rsidR="00D66BD8" w:rsidRDefault="00D66BD8" w:rsidP="007F43A3">
      <w:pPr>
        <w:pStyle w:val="ListParagraph"/>
        <w:ind w:left="426"/>
        <w:rPr>
          <w:rFonts w:ascii="Arial" w:hAnsi="Arial" w:cs="Arial"/>
        </w:rPr>
      </w:pPr>
    </w:p>
    <w:p w14:paraId="64086414" w14:textId="2ACE1850" w:rsidR="00936FF2" w:rsidRDefault="00936FF2" w:rsidP="0030415F">
      <w:pPr>
        <w:pStyle w:val="ListParagraph"/>
        <w:numPr>
          <w:ilvl w:val="0"/>
          <w:numId w:val="5"/>
        </w:numPr>
        <w:rPr>
          <w:rFonts w:ascii="Arial" w:hAnsi="Arial" w:cs="Arial"/>
        </w:rPr>
      </w:pPr>
      <w:r w:rsidRPr="006813DD">
        <w:rPr>
          <w:rFonts w:ascii="Arial" w:hAnsi="Arial" w:cs="Arial"/>
        </w:rPr>
        <w:t>Co-operatin</w:t>
      </w:r>
      <w:r>
        <w:rPr>
          <w:rFonts w:ascii="Arial" w:hAnsi="Arial" w:cs="Arial"/>
        </w:rPr>
        <w:t>g</w:t>
      </w:r>
      <w:r w:rsidRPr="006813DD">
        <w:rPr>
          <w:rFonts w:ascii="Arial" w:hAnsi="Arial" w:cs="Arial"/>
        </w:rPr>
        <w:t xml:space="preserve"> on national, thematic and other reviews or investigations</w:t>
      </w:r>
    </w:p>
    <w:p w14:paraId="52E3CFD7" w14:textId="2323D953" w:rsidR="00936FF2" w:rsidRPr="006813DD" w:rsidRDefault="00936FF2" w:rsidP="00936FF2">
      <w:pPr>
        <w:pStyle w:val="ListParagraph"/>
        <w:ind w:left="426"/>
        <w:rPr>
          <w:rFonts w:ascii="Arial" w:hAnsi="Arial" w:cs="Arial"/>
        </w:rPr>
      </w:pPr>
      <w:r w:rsidRPr="006813DD">
        <w:rPr>
          <w:rFonts w:ascii="Arial" w:hAnsi="Arial" w:cs="Arial"/>
        </w:rPr>
        <w:t xml:space="preserve"> </w:t>
      </w:r>
    </w:p>
    <w:p w14:paraId="1B7C8755" w14:textId="7145D638" w:rsidR="00936FF2" w:rsidRDefault="006813DD" w:rsidP="0030415F">
      <w:pPr>
        <w:pStyle w:val="ListParagraph"/>
        <w:numPr>
          <w:ilvl w:val="0"/>
          <w:numId w:val="5"/>
        </w:numPr>
        <w:rPr>
          <w:rFonts w:ascii="Arial" w:hAnsi="Arial" w:cs="Arial"/>
        </w:rPr>
      </w:pPr>
      <w:r w:rsidRPr="006813DD">
        <w:rPr>
          <w:rFonts w:ascii="Arial" w:hAnsi="Arial" w:cs="Arial"/>
        </w:rPr>
        <w:t>Sharing</w:t>
      </w:r>
      <w:r w:rsidR="00B242D5">
        <w:rPr>
          <w:rFonts w:ascii="Arial" w:hAnsi="Arial" w:cs="Arial"/>
        </w:rPr>
        <w:t xml:space="preserve"> data on</w:t>
      </w:r>
      <w:r w:rsidRPr="006813DD">
        <w:rPr>
          <w:rFonts w:ascii="Arial" w:hAnsi="Arial" w:cs="Arial"/>
        </w:rPr>
        <w:t xml:space="preserve"> emerging themes which may be indicative of a wider safety issues across NHS funded care.</w:t>
      </w:r>
    </w:p>
    <w:p w14:paraId="6E9D95B2" w14:textId="77777777" w:rsidR="00F15CDB" w:rsidRPr="00800FA1" w:rsidRDefault="00F15CDB" w:rsidP="00800FA1">
      <w:pPr>
        <w:pStyle w:val="ListParagraph"/>
        <w:rPr>
          <w:rFonts w:ascii="Arial" w:hAnsi="Arial" w:cs="Arial"/>
        </w:rPr>
      </w:pPr>
    </w:p>
    <w:p w14:paraId="23A43BF9" w14:textId="0B0298E9" w:rsidR="00F15CDB" w:rsidRDefault="00F15CDB" w:rsidP="0030415F">
      <w:pPr>
        <w:pStyle w:val="ListParagraph"/>
        <w:numPr>
          <w:ilvl w:val="0"/>
          <w:numId w:val="5"/>
        </w:numPr>
        <w:rPr>
          <w:rFonts w:ascii="Arial" w:hAnsi="Arial" w:cs="Arial"/>
        </w:rPr>
      </w:pPr>
      <w:r>
        <w:rPr>
          <w:rFonts w:ascii="Arial" w:hAnsi="Arial" w:cs="Arial"/>
        </w:rPr>
        <w:t xml:space="preserve">Cooperation on potential areas of research and other publications </w:t>
      </w:r>
    </w:p>
    <w:p w14:paraId="1360956F" w14:textId="77777777" w:rsidR="00936FF2" w:rsidRPr="00936FF2" w:rsidRDefault="00936FF2" w:rsidP="00936FF2">
      <w:pPr>
        <w:pStyle w:val="ListParagraph"/>
        <w:rPr>
          <w:rFonts w:ascii="Arial" w:hAnsi="Arial" w:cs="Arial"/>
        </w:rPr>
      </w:pPr>
    </w:p>
    <w:p w14:paraId="091E0F79" w14:textId="1AAD91F7" w:rsidR="00E66222" w:rsidRDefault="00B952C1" w:rsidP="000A6647">
      <w:pPr>
        <w:pStyle w:val="Heading1"/>
      </w:pPr>
      <w:r>
        <w:lastRenderedPageBreak/>
        <w:t xml:space="preserve">Exchange of </w:t>
      </w:r>
      <w:r w:rsidR="006F02C9">
        <w:t>i</w:t>
      </w:r>
      <w:r>
        <w:t>nformation</w:t>
      </w:r>
    </w:p>
    <w:p w14:paraId="6998B434" w14:textId="77777777" w:rsidR="00A51338" w:rsidRPr="00A51338" w:rsidRDefault="00A51338" w:rsidP="00A51338">
      <w:pPr>
        <w:rPr>
          <w:rFonts w:ascii="Arial" w:hAnsi="Arial" w:cs="Arial"/>
        </w:rPr>
      </w:pPr>
    </w:p>
    <w:p w14:paraId="22460B5B" w14:textId="77777777" w:rsidR="00A51338" w:rsidRPr="00A51338" w:rsidRDefault="00A51338" w:rsidP="00A51338">
      <w:pPr>
        <w:rPr>
          <w:rStyle w:val="Emphasis"/>
          <w:rFonts w:ascii="Arial" w:hAnsi="Arial" w:cs="Arial"/>
        </w:rPr>
      </w:pPr>
      <w:r w:rsidRPr="00A51338">
        <w:rPr>
          <w:rStyle w:val="Emphasis"/>
          <w:rFonts w:ascii="Arial" w:hAnsi="Arial" w:cs="Arial"/>
        </w:rPr>
        <w:t xml:space="preserve">Freedom of information </w:t>
      </w:r>
    </w:p>
    <w:p w14:paraId="3168F0DF" w14:textId="77777777" w:rsidR="00A51338" w:rsidRPr="00D52C0E" w:rsidRDefault="00A51338" w:rsidP="00484A9F">
      <w:pPr>
        <w:rPr>
          <w:rFonts w:ascii="Arial" w:hAnsi="Arial" w:cs="Arial"/>
          <w:highlight w:val="yellow"/>
        </w:rPr>
      </w:pPr>
    </w:p>
    <w:p w14:paraId="5E4FA570" w14:textId="73B31009" w:rsidR="007429A8" w:rsidRPr="00A6655C" w:rsidRDefault="007429A8" w:rsidP="0030415F">
      <w:pPr>
        <w:pStyle w:val="ListParagraph"/>
        <w:numPr>
          <w:ilvl w:val="0"/>
          <w:numId w:val="4"/>
        </w:numPr>
        <w:rPr>
          <w:rFonts w:ascii="Arial" w:hAnsi="Arial" w:cs="Arial"/>
        </w:rPr>
      </w:pPr>
      <w:r w:rsidRPr="00600807">
        <w:rPr>
          <w:rFonts w:ascii="Arial" w:hAnsi="Arial" w:cs="Arial"/>
        </w:rPr>
        <w:t xml:space="preserve">CQC and </w:t>
      </w:r>
      <w:r w:rsidR="009D5656" w:rsidRPr="00600807">
        <w:rPr>
          <w:rFonts w:ascii="Arial" w:hAnsi="Arial" w:cs="Arial"/>
        </w:rPr>
        <w:t>NHS</w:t>
      </w:r>
      <w:r w:rsidR="00F15CDB" w:rsidRPr="00600807">
        <w:rPr>
          <w:rFonts w:ascii="Arial" w:hAnsi="Arial" w:cs="Arial"/>
        </w:rPr>
        <w:t xml:space="preserve"> </w:t>
      </w:r>
      <w:r w:rsidR="009D5656" w:rsidRPr="00600807">
        <w:rPr>
          <w:rFonts w:ascii="Arial" w:hAnsi="Arial" w:cs="Arial"/>
        </w:rPr>
        <w:t>R</w:t>
      </w:r>
      <w:r w:rsidR="00F15CDB" w:rsidRPr="00600807">
        <w:rPr>
          <w:rFonts w:ascii="Arial" w:hAnsi="Arial" w:cs="Arial"/>
        </w:rPr>
        <w:t>esolution</w:t>
      </w:r>
      <w:r w:rsidRPr="00600807">
        <w:rPr>
          <w:rFonts w:ascii="Arial" w:hAnsi="Arial" w:cs="Arial"/>
        </w:rPr>
        <w:t xml:space="preserve"> recognise</w:t>
      </w:r>
      <w:r w:rsidR="00936FF2" w:rsidRPr="00600807">
        <w:rPr>
          <w:rFonts w:ascii="Arial" w:hAnsi="Arial" w:cs="Arial"/>
        </w:rPr>
        <w:t xml:space="preserve"> </w:t>
      </w:r>
      <w:r w:rsidRPr="00600807">
        <w:rPr>
          <w:rFonts w:ascii="Arial" w:hAnsi="Arial" w:cs="Arial"/>
        </w:rPr>
        <w:t xml:space="preserve">their responsibilities under the Freedom of Information Act 2000. Where CQC or </w:t>
      </w:r>
      <w:r w:rsidR="009D5656" w:rsidRPr="00600807">
        <w:rPr>
          <w:rFonts w:ascii="Arial" w:hAnsi="Arial" w:cs="Arial"/>
        </w:rPr>
        <w:t>NHS R</w:t>
      </w:r>
      <w:r w:rsidR="00374EB3" w:rsidRPr="00600807">
        <w:rPr>
          <w:rFonts w:ascii="Arial" w:hAnsi="Arial" w:cs="Arial"/>
        </w:rPr>
        <w:t>esolution</w:t>
      </w:r>
      <w:r w:rsidRPr="00600807">
        <w:rPr>
          <w:rFonts w:ascii="Arial" w:hAnsi="Arial" w:cs="Arial"/>
        </w:rPr>
        <w:t xml:space="preserve"> receives a request under the Act for information received from the other organisation</w:t>
      </w:r>
      <w:r w:rsidR="006E723E" w:rsidRPr="00600807">
        <w:rPr>
          <w:rFonts w:ascii="Arial" w:hAnsi="Arial" w:cs="Arial"/>
        </w:rPr>
        <w:t>,</w:t>
      </w:r>
      <w:r w:rsidRPr="00600807">
        <w:rPr>
          <w:rFonts w:ascii="Arial" w:hAnsi="Arial" w:cs="Arial"/>
        </w:rPr>
        <w:t xml:space="preserve"> CQC and </w:t>
      </w:r>
      <w:r w:rsidR="009D5656" w:rsidRPr="00600807">
        <w:rPr>
          <w:rFonts w:ascii="Arial" w:hAnsi="Arial" w:cs="Arial"/>
        </w:rPr>
        <w:t>NHS R</w:t>
      </w:r>
      <w:r w:rsidR="00374EB3" w:rsidRPr="00600807">
        <w:rPr>
          <w:rFonts w:ascii="Arial" w:hAnsi="Arial" w:cs="Arial"/>
        </w:rPr>
        <w:t>esolution</w:t>
      </w:r>
      <w:r w:rsidRPr="00600807">
        <w:rPr>
          <w:rFonts w:ascii="Arial" w:hAnsi="Arial" w:cs="Arial"/>
        </w:rPr>
        <w:t xml:space="preserve"> agrees to take reasonable steps to consult on the proposed disclosure and the application of exemptions but recognise that</w:t>
      </w:r>
      <w:r w:rsidRPr="00A6655C">
        <w:rPr>
          <w:rFonts w:ascii="Arial" w:hAnsi="Arial" w:cs="Arial"/>
        </w:rPr>
        <w:t xml:space="preserve"> the responsibility for disclosure lies with the organisation that received the request. </w:t>
      </w:r>
    </w:p>
    <w:p w14:paraId="377B1611" w14:textId="3AD2DE6A" w:rsidR="00E458DB" w:rsidRDefault="00E458DB" w:rsidP="00484A9F">
      <w:pPr>
        <w:rPr>
          <w:rFonts w:ascii="Arial" w:hAnsi="Arial" w:cs="Arial"/>
        </w:rPr>
      </w:pPr>
    </w:p>
    <w:p w14:paraId="0C05257C" w14:textId="788521D6" w:rsidR="00A51338" w:rsidRPr="00A51338" w:rsidRDefault="00A51338" w:rsidP="00A51338">
      <w:pPr>
        <w:rPr>
          <w:rFonts w:ascii="Arial" w:hAnsi="Arial" w:cs="Arial"/>
          <w:i/>
          <w:iCs/>
        </w:rPr>
      </w:pPr>
      <w:r w:rsidRPr="00A51338">
        <w:rPr>
          <w:rFonts w:ascii="Arial" w:hAnsi="Arial" w:cs="Arial"/>
          <w:i/>
          <w:iCs/>
        </w:rPr>
        <w:t xml:space="preserve">Data </w:t>
      </w:r>
      <w:r w:rsidR="00A84607">
        <w:rPr>
          <w:rFonts w:ascii="Arial" w:hAnsi="Arial" w:cs="Arial"/>
          <w:i/>
          <w:iCs/>
        </w:rPr>
        <w:t>p</w:t>
      </w:r>
      <w:r w:rsidRPr="00A51338">
        <w:rPr>
          <w:rFonts w:ascii="Arial" w:hAnsi="Arial" w:cs="Arial"/>
          <w:i/>
          <w:iCs/>
        </w:rPr>
        <w:t>rotection</w:t>
      </w:r>
    </w:p>
    <w:p w14:paraId="39FC99A8" w14:textId="77777777" w:rsidR="00E458DB" w:rsidRDefault="00E458DB" w:rsidP="00E458DB">
      <w:pPr>
        <w:rPr>
          <w:rFonts w:ascii="Arial" w:hAnsi="Arial" w:cs="Arial"/>
        </w:rPr>
      </w:pPr>
    </w:p>
    <w:p w14:paraId="53411457" w14:textId="1AFD80AD" w:rsidR="001B1719" w:rsidRDefault="00DF64B5">
      <w:pPr>
        <w:pStyle w:val="ListParagraph"/>
        <w:numPr>
          <w:ilvl w:val="0"/>
          <w:numId w:val="4"/>
        </w:numPr>
        <w:rPr>
          <w:rFonts w:ascii="Arial" w:hAnsi="Arial" w:cs="Arial"/>
        </w:rPr>
      </w:pPr>
      <w:r w:rsidRPr="001B1719">
        <w:rPr>
          <w:rFonts w:ascii="Arial" w:hAnsi="Arial" w:cs="Arial"/>
        </w:rPr>
        <w:t xml:space="preserve">Before sharing any information, in particular any personal information, CQC and NHS Resolution will need to ensure they are doing so within the appropriate relevant legal frameworks. </w:t>
      </w:r>
    </w:p>
    <w:p w14:paraId="6DE0C054" w14:textId="77777777" w:rsidR="00DF64B5" w:rsidRPr="001B1719" w:rsidRDefault="00DF64B5">
      <w:pPr>
        <w:pStyle w:val="ListParagraph"/>
        <w:ind w:left="360"/>
        <w:rPr>
          <w:rFonts w:ascii="Arial" w:hAnsi="Arial" w:cs="Arial"/>
        </w:rPr>
      </w:pPr>
    </w:p>
    <w:p w14:paraId="79730CAD" w14:textId="4492C037" w:rsidR="001F5D89" w:rsidRDefault="00E458DB" w:rsidP="001F5D89">
      <w:pPr>
        <w:pStyle w:val="ListParagraph"/>
        <w:numPr>
          <w:ilvl w:val="0"/>
          <w:numId w:val="4"/>
        </w:numPr>
        <w:rPr>
          <w:rFonts w:ascii="Arial" w:hAnsi="Arial" w:cs="Arial"/>
        </w:rPr>
      </w:pPr>
      <w:r w:rsidRPr="001F5D89">
        <w:rPr>
          <w:rFonts w:ascii="Arial" w:hAnsi="Arial" w:cs="Arial"/>
        </w:rPr>
        <w:t>All arrangements for collaboration and exchange of information</w:t>
      </w:r>
      <w:r w:rsidR="00071B63" w:rsidRPr="001F5D89">
        <w:rPr>
          <w:rFonts w:ascii="Arial" w:hAnsi="Arial" w:cs="Arial"/>
        </w:rPr>
        <w:t>, as</w:t>
      </w:r>
      <w:r w:rsidRPr="001F5D89">
        <w:rPr>
          <w:rFonts w:ascii="Arial" w:hAnsi="Arial" w:cs="Arial"/>
        </w:rPr>
        <w:t xml:space="preserve"> set out in this MoU</w:t>
      </w:r>
      <w:r w:rsidR="00463D2C">
        <w:rPr>
          <w:rFonts w:ascii="Arial" w:hAnsi="Arial" w:cs="Arial"/>
        </w:rPr>
        <w:t xml:space="preserve"> and in </w:t>
      </w:r>
      <w:r w:rsidR="00F72560">
        <w:rPr>
          <w:rFonts w:ascii="Arial" w:hAnsi="Arial" w:cs="Arial"/>
        </w:rPr>
        <w:t xml:space="preserve">an accompanying </w:t>
      </w:r>
      <w:r w:rsidR="00475D5B">
        <w:rPr>
          <w:rFonts w:ascii="Arial" w:hAnsi="Arial" w:cs="Arial"/>
        </w:rPr>
        <w:t>Information Sharing Agreement (to be developed)</w:t>
      </w:r>
      <w:r w:rsidR="00475D5B" w:rsidRPr="001F5D89">
        <w:rPr>
          <w:rFonts w:ascii="Arial" w:hAnsi="Arial" w:cs="Arial"/>
        </w:rPr>
        <w:t xml:space="preserve"> </w:t>
      </w:r>
      <w:r w:rsidRPr="001F5D89">
        <w:rPr>
          <w:rFonts w:ascii="Arial" w:hAnsi="Arial" w:cs="Arial"/>
        </w:rPr>
        <w:t>will take account of and comply with The General Data Protection Regulation</w:t>
      </w:r>
      <w:r w:rsidR="6212E8A4" w:rsidRPr="001F5D89">
        <w:rPr>
          <w:rFonts w:ascii="Arial" w:hAnsi="Arial" w:cs="Arial"/>
        </w:rPr>
        <w:t xml:space="preserve"> and</w:t>
      </w:r>
      <w:r w:rsidRPr="001F5D89">
        <w:rPr>
          <w:rFonts w:ascii="Arial" w:hAnsi="Arial" w:cs="Arial"/>
        </w:rPr>
        <w:t xml:space="preserve">, </w:t>
      </w:r>
      <w:r w:rsidR="4EE6C615" w:rsidRPr="001F5D89">
        <w:rPr>
          <w:rFonts w:ascii="Arial" w:hAnsi="Arial" w:cs="Arial"/>
        </w:rPr>
        <w:t xml:space="preserve">the </w:t>
      </w:r>
      <w:r w:rsidRPr="001F5D89">
        <w:rPr>
          <w:rFonts w:ascii="Arial" w:hAnsi="Arial" w:cs="Arial"/>
        </w:rPr>
        <w:t>Data Protection Act 2018.</w:t>
      </w:r>
      <w:r w:rsidR="00071B63" w:rsidRPr="001F5D89">
        <w:rPr>
          <w:rFonts w:ascii="Arial" w:hAnsi="Arial" w:cs="Arial"/>
        </w:rPr>
        <w:t xml:space="preserve"> </w:t>
      </w:r>
      <w:r w:rsidR="00D412FA" w:rsidRPr="001F5D89">
        <w:rPr>
          <w:rFonts w:ascii="Arial" w:hAnsi="Arial" w:cs="Arial"/>
        </w:rPr>
        <w:t>This will include responsibilities for the management of information shared under this MoU in accordance with appropriate security controls.</w:t>
      </w:r>
    </w:p>
    <w:p w14:paraId="4DBA309F" w14:textId="77777777" w:rsidR="001F5D89" w:rsidRDefault="001F5D89" w:rsidP="00FF1C8D">
      <w:pPr>
        <w:pStyle w:val="ListParagraph"/>
      </w:pPr>
    </w:p>
    <w:p w14:paraId="53218EE6" w14:textId="347586ED" w:rsidR="001F5D89" w:rsidRPr="001F5D89" w:rsidRDefault="001F5D89" w:rsidP="00FF1C8D">
      <w:pPr>
        <w:pStyle w:val="ListParagraph"/>
        <w:numPr>
          <w:ilvl w:val="0"/>
          <w:numId w:val="4"/>
        </w:numPr>
        <w:rPr>
          <w:rFonts w:ascii="Arial" w:hAnsi="Arial" w:cs="Arial"/>
        </w:rPr>
      </w:pPr>
      <w:r w:rsidRPr="00FF1C8D">
        <w:rPr>
          <w:rFonts w:ascii="Arial" w:hAnsi="Arial" w:cs="Arial"/>
        </w:rPr>
        <w:t>Where personal data is shared between the organisations, each organisation will separately be the data controller for the information that they hold. Each party is responsible for ensuring that they have a lawful basis for any disclosure of personal data to the other party, and each party is separately responsible for ensuring that they process any personal data that they receive  in accordance with GDPR and the Data Protection Act 2018.</w:t>
      </w:r>
    </w:p>
    <w:p w14:paraId="1D29DD79" w14:textId="77777777" w:rsidR="00D412FA" w:rsidRDefault="00D412FA" w:rsidP="00E458DB">
      <w:pPr>
        <w:rPr>
          <w:rFonts w:ascii="Arial" w:hAnsi="Arial" w:cs="Arial"/>
        </w:rPr>
      </w:pPr>
    </w:p>
    <w:p w14:paraId="71E437BB" w14:textId="46CB3E3C" w:rsidR="00F15CDB" w:rsidRPr="008D33FC" w:rsidRDefault="00936FF2" w:rsidP="00484A9F">
      <w:pPr>
        <w:pStyle w:val="ListParagraph"/>
        <w:numPr>
          <w:ilvl w:val="0"/>
          <w:numId w:val="4"/>
        </w:numPr>
        <w:rPr>
          <w:rFonts w:ascii="Arial" w:hAnsi="Arial" w:cs="Arial"/>
        </w:rPr>
      </w:pPr>
      <w:r w:rsidRPr="000A6647">
        <w:rPr>
          <w:rFonts w:ascii="Arial" w:hAnsi="Arial" w:cs="Arial"/>
        </w:rPr>
        <w:t>CQC and NHS</w:t>
      </w:r>
      <w:r w:rsidR="00F15CDB" w:rsidRPr="000A6647">
        <w:rPr>
          <w:rFonts w:ascii="Arial" w:hAnsi="Arial" w:cs="Arial"/>
        </w:rPr>
        <w:t xml:space="preserve"> </w:t>
      </w:r>
      <w:r w:rsidRPr="000A6647">
        <w:rPr>
          <w:rFonts w:ascii="Arial" w:hAnsi="Arial" w:cs="Arial"/>
        </w:rPr>
        <w:t>R</w:t>
      </w:r>
      <w:r w:rsidR="00F15CDB" w:rsidRPr="000A6647">
        <w:rPr>
          <w:rFonts w:ascii="Arial" w:hAnsi="Arial" w:cs="Arial"/>
        </w:rPr>
        <w:t>esolution</w:t>
      </w:r>
      <w:r w:rsidRPr="000A6647">
        <w:rPr>
          <w:rFonts w:ascii="Arial" w:hAnsi="Arial" w:cs="Arial"/>
        </w:rPr>
        <w:t xml:space="preserve"> also recognise that there may be instances where sharing confidential personal information or commercially sensitive information </w:t>
      </w:r>
      <w:r w:rsidR="00071B63" w:rsidRPr="000A6647">
        <w:rPr>
          <w:rFonts w:ascii="Arial" w:hAnsi="Arial" w:cs="Arial"/>
        </w:rPr>
        <w:t xml:space="preserve">in the public interest </w:t>
      </w:r>
      <w:r w:rsidR="00F15CDB" w:rsidRPr="000A6647">
        <w:rPr>
          <w:rFonts w:ascii="Arial" w:hAnsi="Arial" w:cs="Arial"/>
        </w:rPr>
        <w:t>as part of the principles outlined in this M</w:t>
      </w:r>
      <w:r w:rsidR="4E5B78B4" w:rsidRPr="000A6647">
        <w:rPr>
          <w:rFonts w:ascii="Arial" w:hAnsi="Arial" w:cs="Arial"/>
        </w:rPr>
        <w:t>oU</w:t>
      </w:r>
      <w:r w:rsidR="00D412FA" w:rsidRPr="000A6647">
        <w:rPr>
          <w:rFonts w:ascii="Arial" w:hAnsi="Arial" w:cs="Arial"/>
        </w:rPr>
        <w:t xml:space="preserve"> will need to take place</w:t>
      </w:r>
      <w:r w:rsidR="00F15CDB" w:rsidRPr="000A6647">
        <w:rPr>
          <w:rFonts w:ascii="Arial" w:hAnsi="Arial" w:cs="Arial"/>
        </w:rPr>
        <w:t xml:space="preserve">. This will be agreed by the relevant Data Protection officers for each organisation. </w:t>
      </w:r>
      <w:r w:rsidR="002216D9" w:rsidRPr="000A6647">
        <w:rPr>
          <w:rFonts w:ascii="Arial" w:hAnsi="Arial" w:cs="Arial"/>
        </w:rPr>
        <w:t xml:space="preserve"> </w:t>
      </w:r>
    </w:p>
    <w:p w14:paraId="53ED9E4D" w14:textId="2300F2A9" w:rsidR="007429A8" w:rsidRPr="00D52C0E" w:rsidRDefault="007429A8" w:rsidP="000A6647">
      <w:pPr>
        <w:pStyle w:val="Heading1"/>
      </w:pPr>
      <w:r w:rsidRPr="00D52C0E">
        <w:t xml:space="preserve">Resolution of </w:t>
      </w:r>
      <w:r w:rsidR="006F02C9">
        <w:t>d</w:t>
      </w:r>
      <w:r w:rsidRPr="00D52C0E">
        <w:t xml:space="preserve">isagreement </w:t>
      </w:r>
    </w:p>
    <w:p w14:paraId="0873D25B" w14:textId="77777777" w:rsidR="00814906" w:rsidRPr="00D52C0E" w:rsidRDefault="00814906" w:rsidP="00484A9F">
      <w:pPr>
        <w:rPr>
          <w:rFonts w:ascii="Arial" w:hAnsi="Arial" w:cs="Arial"/>
        </w:rPr>
      </w:pPr>
    </w:p>
    <w:p w14:paraId="4A85F8FB" w14:textId="5ED7E25D" w:rsidR="007429A8" w:rsidRPr="000A6647" w:rsidRDefault="007429A8" w:rsidP="0030415F">
      <w:pPr>
        <w:pStyle w:val="ListParagraph"/>
        <w:numPr>
          <w:ilvl w:val="0"/>
          <w:numId w:val="4"/>
        </w:numPr>
        <w:rPr>
          <w:rFonts w:ascii="Arial" w:hAnsi="Arial" w:cs="Arial"/>
        </w:rPr>
      </w:pPr>
      <w:r w:rsidRPr="000A6647">
        <w:rPr>
          <w:rFonts w:ascii="Arial" w:hAnsi="Arial" w:cs="Arial"/>
        </w:rPr>
        <w:t xml:space="preserve">Where there is disagreement between CQC and </w:t>
      </w:r>
      <w:r w:rsidR="00374EB3" w:rsidRPr="000A6647">
        <w:rPr>
          <w:rFonts w:ascii="Arial" w:hAnsi="Arial" w:cs="Arial"/>
        </w:rPr>
        <w:t>NHS Resolution</w:t>
      </w:r>
      <w:r w:rsidRPr="000A6647">
        <w:rPr>
          <w:rFonts w:ascii="Arial" w:hAnsi="Arial" w:cs="Arial"/>
        </w:rPr>
        <w:t xml:space="preserve">, this should be resolved in the first instance at working level. If this is not possible, it may be referred through those responsible for the management of this MoU, up to and including Chief Executive of the CQC and </w:t>
      </w:r>
      <w:r w:rsidR="00374EB3" w:rsidRPr="000A6647">
        <w:rPr>
          <w:rFonts w:ascii="Arial" w:hAnsi="Arial" w:cs="Arial"/>
        </w:rPr>
        <w:t>the Chief Executive of NHS Resolution</w:t>
      </w:r>
      <w:r w:rsidRPr="000A6647">
        <w:rPr>
          <w:rFonts w:ascii="Arial" w:hAnsi="Arial" w:cs="Arial"/>
        </w:rPr>
        <w:t xml:space="preserve"> who will then be jointly responsible for ensuring a mutually satisfactory resolution. </w:t>
      </w:r>
    </w:p>
    <w:p w14:paraId="6B92E86C" w14:textId="77777777" w:rsidR="00DC3C7D" w:rsidRPr="00D52C0E" w:rsidRDefault="00DC3C7D" w:rsidP="00484A9F">
      <w:pPr>
        <w:rPr>
          <w:rFonts w:ascii="Arial" w:hAnsi="Arial" w:cs="Arial"/>
        </w:rPr>
      </w:pPr>
    </w:p>
    <w:p w14:paraId="10AD8450" w14:textId="12D18276" w:rsidR="007429A8" w:rsidRPr="008D33FC" w:rsidRDefault="00DC3C7D" w:rsidP="00484A9F">
      <w:pPr>
        <w:pStyle w:val="ListParagraph"/>
        <w:numPr>
          <w:ilvl w:val="0"/>
          <w:numId w:val="4"/>
        </w:numPr>
        <w:rPr>
          <w:rFonts w:ascii="Arial" w:hAnsi="Arial" w:cs="Arial"/>
        </w:rPr>
      </w:pPr>
      <w:r w:rsidRPr="000A6647">
        <w:rPr>
          <w:rFonts w:ascii="Arial" w:hAnsi="Arial" w:cs="Arial"/>
        </w:rPr>
        <w:t xml:space="preserve">Each party will be responsible for its own negligent acts or omissions. </w:t>
      </w:r>
    </w:p>
    <w:p w14:paraId="6BB99D58" w14:textId="5BD6EF53" w:rsidR="007429A8" w:rsidRPr="00D52C0E" w:rsidRDefault="007429A8" w:rsidP="000A6647">
      <w:pPr>
        <w:pStyle w:val="Heading1"/>
      </w:pPr>
      <w:r w:rsidRPr="00D52C0E">
        <w:t xml:space="preserve">Duration and </w:t>
      </w:r>
      <w:r w:rsidR="006F02C9">
        <w:t>r</w:t>
      </w:r>
      <w:r w:rsidRPr="00D52C0E">
        <w:t xml:space="preserve">eview </w:t>
      </w:r>
    </w:p>
    <w:p w14:paraId="4AD62038" w14:textId="77777777" w:rsidR="007429A8" w:rsidRPr="00D52C0E" w:rsidRDefault="007429A8" w:rsidP="00484A9F">
      <w:pPr>
        <w:rPr>
          <w:rFonts w:ascii="Arial" w:hAnsi="Arial" w:cs="Arial"/>
        </w:rPr>
      </w:pPr>
    </w:p>
    <w:p w14:paraId="6E955F9C" w14:textId="2726DBED" w:rsidR="00326F9C" w:rsidRPr="00600807" w:rsidRDefault="007429A8" w:rsidP="0030415F">
      <w:pPr>
        <w:pStyle w:val="ListParagraph"/>
        <w:numPr>
          <w:ilvl w:val="0"/>
          <w:numId w:val="4"/>
        </w:numPr>
        <w:rPr>
          <w:rFonts w:ascii="Arial" w:hAnsi="Arial" w:cs="Arial"/>
        </w:rPr>
      </w:pPr>
      <w:r w:rsidRPr="00600807">
        <w:rPr>
          <w:rFonts w:ascii="Arial" w:hAnsi="Arial" w:cs="Arial"/>
        </w:rPr>
        <w:t xml:space="preserve">This MoU commences on the date of the signatures below. </w:t>
      </w:r>
    </w:p>
    <w:p w14:paraId="583563F3" w14:textId="77777777" w:rsidR="00326F9C" w:rsidRPr="00600807" w:rsidRDefault="00326F9C" w:rsidP="000A6647">
      <w:pPr>
        <w:rPr>
          <w:rFonts w:ascii="Arial" w:hAnsi="Arial" w:cs="Arial"/>
        </w:rPr>
      </w:pPr>
    </w:p>
    <w:p w14:paraId="139EE9E0" w14:textId="0C0E9F35" w:rsidR="007429A8" w:rsidRPr="00600807" w:rsidRDefault="007429A8" w:rsidP="0030415F">
      <w:pPr>
        <w:pStyle w:val="ListParagraph"/>
        <w:numPr>
          <w:ilvl w:val="0"/>
          <w:numId w:val="4"/>
        </w:numPr>
        <w:rPr>
          <w:rFonts w:ascii="Arial" w:hAnsi="Arial" w:cs="Arial"/>
        </w:rPr>
      </w:pPr>
      <w:r w:rsidRPr="00600807">
        <w:rPr>
          <w:rFonts w:ascii="Arial" w:hAnsi="Arial" w:cs="Arial"/>
        </w:rPr>
        <w:t>The M</w:t>
      </w:r>
      <w:r w:rsidR="006226CD" w:rsidRPr="00600807">
        <w:rPr>
          <w:rFonts w:ascii="Arial" w:hAnsi="Arial" w:cs="Arial"/>
        </w:rPr>
        <w:t>o</w:t>
      </w:r>
      <w:r w:rsidRPr="00600807">
        <w:rPr>
          <w:rFonts w:ascii="Arial" w:hAnsi="Arial" w:cs="Arial"/>
        </w:rPr>
        <w:t>U will be</w:t>
      </w:r>
      <w:r w:rsidR="00E4109B" w:rsidRPr="00600807">
        <w:rPr>
          <w:rFonts w:ascii="Arial" w:hAnsi="Arial" w:cs="Arial"/>
        </w:rPr>
        <w:t xml:space="preserve"> reviewed at quarterly meetings in the first instance and then formally</w:t>
      </w:r>
      <w:r w:rsidRPr="00600807">
        <w:rPr>
          <w:rFonts w:ascii="Arial" w:hAnsi="Arial" w:cs="Arial"/>
        </w:rPr>
        <w:t xml:space="preserve"> reviewed </w:t>
      </w:r>
      <w:r w:rsidR="0045556F" w:rsidRPr="00600807">
        <w:rPr>
          <w:rFonts w:ascii="Arial" w:hAnsi="Arial" w:cs="Arial"/>
        </w:rPr>
        <w:t xml:space="preserve">after twelve months and then </w:t>
      </w:r>
      <w:r w:rsidRPr="00600807">
        <w:rPr>
          <w:rFonts w:ascii="Arial" w:hAnsi="Arial" w:cs="Arial"/>
        </w:rPr>
        <w:t xml:space="preserve">every two years or when there are changes to either party’s legislation or Directions. It will also be reviewed if the principles described </w:t>
      </w:r>
      <w:r w:rsidRPr="00600807">
        <w:rPr>
          <w:rFonts w:ascii="Arial" w:hAnsi="Arial" w:cs="Arial"/>
        </w:rPr>
        <w:lastRenderedPageBreak/>
        <w:t xml:space="preserve">above need to be amended and/or cease to be relevant for any other reason. Any amendments to the MoU will require both parties to agree. </w:t>
      </w:r>
    </w:p>
    <w:p w14:paraId="56FF2953" w14:textId="77777777" w:rsidR="00326F9C" w:rsidRPr="00600807" w:rsidRDefault="00326F9C" w:rsidP="000A6647">
      <w:pPr>
        <w:rPr>
          <w:rFonts w:ascii="Arial" w:hAnsi="Arial" w:cs="Arial"/>
        </w:rPr>
      </w:pPr>
    </w:p>
    <w:p w14:paraId="527EEE92" w14:textId="7A4936ED" w:rsidR="007429A8" w:rsidRPr="00600807" w:rsidRDefault="007429A8" w:rsidP="0030415F">
      <w:pPr>
        <w:pStyle w:val="ListParagraph"/>
        <w:numPr>
          <w:ilvl w:val="0"/>
          <w:numId w:val="4"/>
        </w:numPr>
        <w:rPr>
          <w:rFonts w:ascii="Arial" w:hAnsi="Arial" w:cs="Arial"/>
        </w:rPr>
      </w:pPr>
      <w:r w:rsidRPr="00600807">
        <w:rPr>
          <w:rFonts w:ascii="Arial" w:hAnsi="Arial" w:cs="Arial"/>
        </w:rPr>
        <w:t xml:space="preserve">Both organisations have identified a person responsible for the management of this MoU (known as ‘Relationship Leads’) and their contact details are set out </w:t>
      </w:r>
      <w:r w:rsidR="00BD0E73" w:rsidRPr="00600807">
        <w:rPr>
          <w:rFonts w:ascii="Arial" w:hAnsi="Arial" w:cs="Arial"/>
        </w:rPr>
        <w:t>below</w:t>
      </w:r>
      <w:r w:rsidRPr="00600807">
        <w:rPr>
          <w:rFonts w:ascii="Arial" w:hAnsi="Arial" w:cs="Arial"/>
        </w:rPr>
        <w:t xml:space="preserve">. Relationship Leads will liaise as required to ensure that: </w:t>
      </w:r>
    </w:p>
    <w:p w14:paraId="6A9339B8" w14:textId="77777777" w:rsidR="007429A8" w:rsidRPr="00600807" w:rsidRDefault="007429A8" w:rsidP="00484A9F">
      <w:pPr>
        <w:rPr>
          <w:rFonts w:ascii="Arial" w:hAnsi="Arial" w:cs="Arial"/>
        </w:rPr>
      </w:pPr>
    </w:p>
    <w:p w14:paraId="2D1A2A27" w14:textId="1E997165" w:rsidR="007429A8" w:rsidRPr="00600807" w:rsidRDefault="007429A8" w:rsidP="0030415F">
      <w:pPr>
        <w:pStyle w:val="ListParagraph"/>
        <w:numPr>
          <w:ilvl w:val="0"/>
          <w:numId w:val="7"/>
        </w:numPr>
        <w:ind w:left="720"/>
        <w:rPr>
          <w:rFonts w:ascii="Arial" w:hAnsi="Arial" w:cs="Arial"/>
        </w:rPr>
      </w:pPr>
      <w:r w:rsidRPr="00600807">
        <w:rPr>
          <w:rFonts w:ascii="Arial" w:hAnsi="Arial" w:cs="Arial"/>
        </w:rPr>
        <w:t xml:space="preserve">This MoU is kept up to date; </w:t>
      </w:r>
    </w:p>
    <w:p w14:paraId="5FCFD9A1" w14:textId="02C17B95" w:rsidR="007429A8" w:rsidRPr="00600807" w:rsidRDefault="007429A8" w:rsidP="0030415F">
      <w:pPr>
        <w:pStyle w:val="ListParagraph"/>
        <w:numPr>
          <w:ilvl w:val="0"/>
          <w:numId w:val="6"/>
        </w:numPr>
        <w:ind w:left="720"/>
        <w:rPr>
          <w:rFonts w:ascii="Arial" w:hAnsi="Arial" w:cs="Arial"/>
        </w:rPr>
      </w:pPr>
      <w:r w:rsidRPr="00600807">
        <w:rPr>
          <w:rFonts w:ascii="Arial" w:hAnsi="Arial" w:cs="Arial"/>
        </w:rPr>
        <w:t xml:space="preserve">They identify any emerging issues in the working relationship between the organisations; </w:t>
      </w:r>
      <w:r w:rsidR="003B0118" w:rsidRPr="00600807">
        <w:rPr>
          <w:rFonts w:ascii="Arial" w:hAnsi="Arial" w:cs="Arial"/>
        </w:rPr>
        <w:t>and</w:t>
      </w:r>
    </w:p>
    <w:p w14:paraId="43DCEFEC" w14:textId="04A3ED5B" w:rsidR="007429A8" w:rsidRPr="00600807" w:rsidRDefault="007429A8" w:rsidP="0030415F">
      <w:pPr>
        <w:pStyle w:val="ListParagraph"/>
        <w:numPr>
          <w:ilvl w:val="0"/>
          <w:numId w:val="6"/>
        </w:numPr>
        <w:ind w:left="720"/>
        <w:rPr>
          <w:rFonts w:ascii="Arial" w:hAnsi="Arial" w:cs="Arial"/>
        </w:rPr>
      </w:pPr>
      <w:r w:rsidRPr="00600807">
        <w:rPr>
          <w:rFonts w:ascii="Arial" w:hAnsi="Arial" w:cs="Arial"/>
        </w:rPr>
        <w:t xml:space="preserve">They resolve any questions that arise regarding the interpretation of this MoU. </w:t>
      </w:r>
    </w:p>
    <w:p w14:paraId="0DED02EF" w14:textId="77777777" w:rsidR="007429A8" w:rsidRPr="00D52C0E" w:rsidRDefault="007429A8" w:rsidP="00484A9F">
      <w:pPr>
        <w:rPr>
          <w:rFonts w:ascii="Arial" w:hAnsi="Arial" w:cs="Arial"/>
        </w:rPr>
      </w:pPr>
    </w:p>
    <w:p w14:paraId="51A14C80" w14:textId="77777777" w:rsidR="00814906" w:rsidRPr="00D52C0E" w:rsidRDefault="00814906" w:rsidP="00484A9F">
      <w:pPr>
        <w:rPr>
          <w:rFonts w:ascii="Arial" w:hAnsi="Arial" w:cs="Arial"/>
        </w:rPr>
      </w:pPr>
    </w:p>
    <w:p w14:paraId="185F3072" w14:textId="653F1987" w:rsidR="007429A8" w:rsidRPr="00600807" w:rsidRDefault="003178F4" w:rsidP="00484A9F">
      <w:pPr>
        <w:rPr>
          <w:rFonts w:ascii="Arial" w:hAnsi="Arial" w:cs="Arial"/>
          <w:b/>
          <w:bCs/>
        </w:rPr>
      </w:pPr>
      <w:r w:rsidRPr="00600807">
        <w:rPr>
          <w:rFonts w:ascii="Arial" w:hAnsi="Arial" w:cs="Arial"/>
          <w:b/>
          <w:bCs/>
        </w:rPr>
        <w:t>S</w:t>
      </w:r>
      <w:r w:rsidR="007429A8" w:rsidRPr="00600807">
        <w:rPr>
          <w:rFonts w:ascii="Arial" w:hAnsi="Arial" w:cs="Arial"/>
          <w:b/>
          <w:bCs/>
        </w:rPr>
        <w:t xml:space="preserve">ignatures </w:t>
      </w:r>
    </w:p>
    <w:p w14:paraId="16D253CB" w14:textId="77777777" w:rsidR="007429A8" w:rsidRPr="00D52C0E" w:rsidRDefault="007429A8" w:rsidP="00484A9F">
      <w:pPr>
        <w:rPr>
          <w:rFonts w:ascii="Arial" w:hAnsi="Arial" w:cs="Arial"/>
        </w:rPr>
      </w:pPr>
    </w:p>
    <w:tbl>
      <w:tblPr>
        <w:tblStyle w:val="TableGrid"/>
        <w:tblW w:w="0" w:type="auto"/>
        <w:tblLook w:val="04A0" w:firstRow="1" w:lastRow="0" w:firstColumn="1" w:lastColumn="0" w:noHBand="0" w:noVBand="1"/>
      </w:tblPr>
      <w:tblGrid>
        <w:gridCol w:w="4508"/>
        <w:gridCol w:w="4508"/>
      </w:tblGrid>
      <w:tr w:rsidR="00AD7E53" w:rsidRPr="00D52C0E" w14:paraId="7624C35D" w14:textId="77777777" w:rsidTr="00D52C0E">
        <w:tc>
          <w:tcPr>
            <w:tcW w:w="4508" w:type="dxa"/>
            <w:shd w:val="clear" w:color="auto" w:fill="D0CECE" w:themeFill="background2" w:themeFillShade="E6"/>
          </w:tcPr>
          <w:p w14:paraId="38AAF0D9" w14:textId="6D3E7C04" w:rsidR="00AD7E53" w:rsidRPr="00D52C0E" w:rsidRDefault="00AD7E53" w:rsidP="00AD7E53">
            <w:pPr>
              <w:rPr>
                <w:rFonts w:ascii="Arial" w:hAnsi="Arial" w:cs="Arial"/>
                <w:b/>
                <w:bCs/>
              </w:rPr>
            </w:pPr>
            <w:r w:rsidRPr="00D52C0E">
              <w:rPr>
                <w:rFonts w:ascii="Arial" w:hAnsi="Arial" w:cs="Arial"/>
                <w:b/>
                <w:bCs/>
              </w:rPr>
              <w:t>CQC</w:t>
            </w:r>
          </w:p>
        </w:tc>
        <w:tc>
          <w:tcPr>
            <w:tcW w:w="4508" w:type="dxa"/>
            <w:shd w:val="clear" w:color="auto" w:fill="D0CECE" w:themeFill="background2" w:themeFillShade="E6"/>
          </w:tcPr>
          <w:p w14:paraId="10E68263" w14:textId="2BF43761" w:rsidR="00AD7E53" w:rsidRPr="00D52C0E" w:rsidRDefault="00AD7E53" w:rsidP="00AD7E53">
            <w:pPr>
              <w:rPr>
                <w:rFonts w:ascii="Arial" w:hAnsi="Arial" w:cs="Arial"/>
                <w:b/>
                <w:bCs/>
              </w:rPr>
            </w:pPr>
            <w:r w:rsidRPr="00D52C0E">
              <w:rPr>
                <w:rFonts w:ascii="Arial" w:hAnsi="Arial" w:cs="Arial"/>
                <w:b/>
                <w:bCs/>
              </w:rPr>
              <w:t>NHSR</w:t>
            </w:r>
          </w:p>
        </w:tc>
      </w:tr>
      <w:tr w:rsidR="00AD7E53" w:rsidRPr="00D52C0E" w14:paraId="3C6EE48D" w14:textId="77777777" w:rsidTr="007429A8">
        <w:tc>
          <w:tcPr>
            <w:tcW w:w="4508" w:type="dxa"/>
          </w:tcPr>
          <w:p w14:paraId="4D7D7C38" w14:textId="77777777" w:rsidR="001A2F89" w:rsidRPr="001A2F89" w:rsidRDefault="001A2F89" w:rsidP="00AD7E53">
            <w:pPr>
              <w:rPr>
                <w:rFonts w:ascii="Arial" w:hAnsi="Arial" w:cs="Arial"/>
              </w:rPr>
            </w:pPr>
          </w:p>
          <w:p w14:paraId="181A89DF" w14:textId="4507845E" w:rsidR="001A2F89" w:rsidRPr="001A2F89" w:rsidRDefault="001A2F89" w:rsidP="00AD7E53">
            <w:pPr>
              <w:rPr>
                <w:rFonts w:ascii="Arial" w:hAnsi="Arial" w:cs="Arial"/>
              </w:rPr>
            </w:pPr>
            <w:r w:rsidRPr="001A2F89">
              <w:rPr>
                <w:noProof/>
                <w:lang w:eastAsia="en-GB"/>
              </w:rPr>
              <w:drawing>
                <wp:inline distT="0" distB="0" distL="0" distR="0" wp14:anchorId="02D15CCC" wp14:editId="73A6A7F8">
                  <wp:extent cx="1201431" cy="38055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11175" cy="383638"/>
                          </a:xfrm>
                          <a:prstGeom prst="rect">
                            <a:avLst/>
                          </a:prstGeom>
                          <a:noFill/>
                          <a:ln>
                            <a:noFill/>
                          </a:ln>
                        </pic:spPr>
                      </pic:pic>
                    </a:graphicData>
                  </a:graphic>
                </wp:inline>
              </w:drawing>
            </w:r>
          </w:p>
          <w:p w14:paraId="0F9C7515" w14:textId="77777777" w:rsidR="001A2F89" w:rsidRPr="001A2F89" w:rsidRDefault="001A2F89" w:rsidP="00AD7E53">
            <w:pPr>
              <w:rPr>
                <w:rFonts w:ascii="Arial" w:hAnsi="Arial" w:cs="Arial"/>
              </w:rPr>
            </w:pPr>
          </w:p>
          <w:p w14:paraId="5C49AC90" w14:textId="77777777" w:rsidR="001A2F89" w:rsidRPr="001A2F89" w:rsidRDefault="001A2F89" w:rsidP="00AD7E53">
            <w:pPr>
              <w:rPr>
                <w:rFonts w:ascii="Arial" w:hAnsi="Arial" w:cs="Arial"/>
              </w:rPr>
            </w:pPr>
          </w:p>
          <w:p w14:paraId="7B67B7D9" w14:textId="00446E57" w:rsidR="00AD7E53" w:rsidRPr="001A2F89" w:rsidRDefault="00AD7E53" w:rsidP="00AD7E53">
            <w:pPr>
              <w:rPr>
                <w:rFonts w:ascii="Arial" w:hAnsi="Arial" w:cs="Arial"/>
              </w:rPr>
            </w:pPr>
            <w:r w:rsidRPr="001A2F89">
              <w:rPr>
                <w:rFonts w:ascii="Arial" w:hAnsi="Arial" w:cs="Arial"/>
              </w:rPr>
              <w:t>Ian Trenholm</w:t>
            </w:r>
            <w:r w:rsidR="00B02C45" w:rsidRPr="001A2F89">
              <w:rPr>
                <w:rFonts w:ascii="Arial" w:hAnsi="Arial" w:cs="Arial"/>
              </w:rPr>
              <w:t>, Chief Executive</w:t>
            </w:r>
          </w:p>
        </w:tc>
        <w:tc>
          <w:tcPr>
            <w:tcW w:w="4508" w:type="dxa"/>
          </w:tcPr>
          <w:p w14:paraId="02F6FB57" w14:textId="6B5B66B1" w:rsidR="001A2F89" w:rsidRDefault="00170F29" w:rsidP="00AD7E53">
            <w:pPr>
              <w:rPr>
                <w:rFonts w:ascii="Arial" w:hAnsi="Arial" w:cs="Arial"/>
              </w:rPr>
            </w:pPr>
            <w:r w:rsidRPr="007F6938">
              <w:rPr>
                <w:noProof/>
                <w:lang w:eastAsia="en-GB"/>
              </w:rPr>
              <w:drawing>
                <wp:inline distT="0" distB="0" distL="0" distR="0" wp14:anchorId="2320272F" wp14:editId="75A2386B">
                  <wp:extent cx="1384300" cy="584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6119" t="35638" r="59586" b="48138"/>
                          <a:stretch>
                            <a:fillRect/>
                          </a:stretch>
                        </pic:blipFill>
                        <pic:spPr bwMode="auto">
                          <a:xfrm>
                            <a:off x="0" y="0"/>
                            <a:ext cx="1384300" cy="584200"/>
                          </a:xfrm>
                          <a:prstGeom prst="rect">
                            <a:avLst/>
                          </a:prstGeom>
                          <a:noFill/>
                          <a:ln>
                            <a:noFill/>
                          </a:ln>
                        </pic:spPr>
                      </pic:pic>
                    </a:graphicData>
                  </a:graphic>
                </wp:inline>
              </w:drawing>
            </w:r>
          </w:p>
          <w:p w14:paraId="35475817" w14:textId="77777777" w:rsidR="001A2F89" w:rsidRDefault="001A2F89" w:rsidP="00AD7E53">
            <w:pPr>
              <w:rPr>
                <w:rFonts w:ascii="Arial" w:hAnsi="Arial" w:cs="Arial"/>
              </w:rPr>
            </w:pPr>
          </w:p>
          <w:p w14:paraId="0F1C732A" w14:textId="77777777" w:rsidR="001A2F89" w:rsidRDefault="001A2F89" w:rsidP="00AD7E53">
            <w:pPr>
              <w:rPr>
                <w:rFonts w:ascii="Arial" w:hAnsi="Arial" w:cs="Arial"/>
              </w:rPr>
            </w:pPr>
          </w:p>
          <w:p w14:paraId="550503C8" w14:textId="42B75AA0" w:rsidR="00AD7E53" w:rsidRPr="00D52C0E" w:rsidRDefault="008F7F41" w:rsidP="00AD7E53">
            <w:pPr>
              <w:rPr>
                <w:rFonts w:ascii="Arial" w:hAnsi="Arial" w:cs="Arial"/>
              </w:rPr>
            </w:pPr>
            <w:r>
              <w:rPr>
                <w:rFonts w:ascii="Arial" w:hAnsi="Arial" w:cs="Arial"/>
              </w:rPr>
              <w:t>Helen Vernon</w:t>
            </w:r>
          </w:p>
        </w:tc>
      </w:tr>
      <w:tr w:rsidR="00AD7E53" w:rsidRPr="00D52C0E" w14:paraId="548D4F3C" w14:textId="77777777" w:rsidTr="007429A8">
        <w:tc>
          <w:tcPr>
            <w:tcW w:w="4508" w:type="dxa"/>
          </w:tcPr>
          <w:p w14:paraId="38BB822E" w14:textId="77777777" w:rsidR="00AD7E53" w:rsidRPr="001A2F89" w:rsidRDefault="00AD7E53" w:rsidP="00AD7E53">
            <w:pPr>
              <w:rPr>
                <w:rFonts w:ascii="Arial" w:hAnsi="Arial" w:cs="Arial"/>
              </w:rPr>
            </w:pPr>
            <w:r w:rsidRPr="001A2F89">
              <w:rPr>
                <w:rFonts w:ascii="Arial" w:hAnsi="Arial" w:cs="Arial"/>
              </w:rPr>
              <w:t>Care Quality Commission</w:t>
            </w:r>
          </w:p>
        </w:tc>
        <w:tc>
          <w:tcPr>
            <w:tcW w:w="4508" w:type="dxa"/>
          </w:tcPr>
          <w:p w14:paraId="0C7DE380" w14:textId="01C91562" w:rsidR="00AD7E53" w:rsidRPr="00D52C0E" w:rsidRDefault="008F7F41" w:rsidP="00AD7E53">
            <w:pPr>
              <w:rPr>
                <w:rFonts w:ascii="Arial" w:hAnsi="Arial" w:cs="Arial"/>
              </w:rPr>
            </w:pPr>
            <w:r>
              <w:rPr>
                <w:rFonts w:ascii="Arial" w:hAnsi="Arial" w:cs="Arial"/>
              </w:rPr>
              <w:t xml:space="preserve">NHS Resolution </w:t>
            </w:r>
          </w:p>
        </w:tc>
      </w:tr>
      <w:tr w:rsidR="00AD7E53" w:rsidRPr="00D52C0E" w14:paraId="4BC08E1F" w14:textId="77777777" w:rsidTr="007429A8">
        <w:tc>
          <w:tcPr>
            <w:tcW w:w="4508" w:type="dxa"/>
          </w:tcPr>
          <w:p w14:paraId="4C25914E" w14:textId="59E16673" w:rsidR="00AD7E53" w:rsidRPr="001A2F89" w:rsidRDefault="00AD7E53" w:rsidP="00AD7E53">
            <w:pPr>
              <w:rPr>
                <w:rFonts w:ascii="Arial" w:hAnsi="Arial" w:cs="Arial"/>
              </w:rPr>
            </w:pPr>
            <w:r w:rsidRPr="001A2F89">
              <w:rPr>
                <w:rFonts w:ascii="Arial" w:hAnsi="Arial" w:cs="Arial"/>
              </w:rPr>
              <w:t>Date:</w:t>
            </w:r>
            <w:r w:rsidR="001A2F89">
              <w:rPr>
                <w:rFonts w:ascii="Arial" w:hAnsi="Arial" w:cs="Arial"/>
              </w:rPr>
              <w:t>06/04/2022</w:t>
            </w:r>
          </w:p>
        </w:tc>
        <w:tc>
          <w:tcPr>
            <w:tcW w:w="4508" w:type="dxa"/>
          </w:tcPr>
          <w:p w14:paraId="58443560" w14:textId="304E1DBB" w:rsidR="00AD7E53" w:rsidRPr="00D52C0E" w:rsidRDefault="00AD7E53" w:rsidP="00170F29">
            <w:pPr>
              <w:rPr>
                <w:rFonts w:ascii="Arial" w:hAnsi="Arial" w:cs="Arial"/>
              </w:rPr>
            </w:pPr>
            <w:r w:rsidRPr="00D52C0E">
              <w:rPr>
                <w:rFonts w:ascii="Arial" w:hAnsi="Arial" w:cs="Arial"/>
              </w:rPr>
              <w:t>Date:</w:t>
            </w:r>
            <w:r w:rsidR="00CD7AED">
              <w:rPr>
                <w:rFonts w:ascii="Arial" w:hAnsi="Arial" w:cs="Arial"/>
              </w:rPr>
              <w:t xml:space="preserve"> </w:t>
            </w:r>
            <w:r w:rsidR="00170F29">
              <w:rPr>
                <w:rFonts w:ascii="Arial" w:hAnsi="Arial" w:cs="Arial"/>
              </w:rPr>
              <w:t>08/04/2022</w:t>
            </w:r>
          </w:p>
        </w:tc>
      </w:tr>
    </w:tbl>
    <w:p w14:paraId="35192AD5" w14:textId="34009F3F" w:rsidR="007429A8" w:rsidRPr="00D52C0E" w:rsidRDefault="007429A8" w:rsidP="00484A9F">
      <w:pPr>
        <w:rPr>
          <w:rFonts w:ascii="Arial" w:hAnsi="Arial" w:cs="Arial"/>
        </w:rPr>
      </w:pPr>
    </w:p>
    <w:p w14:paraId="16E9F813" w14:textId="28DEAF9E" w:rsidR="00814906" w:rsidRPr="00D52C0E" w:rsidRDefault="00814906" w:rsidP="00484A9F">
      <w:pPr>
        <w:rPr>
          <w:rFonts w:ascii="Arial" w:hAnsi="Arial" w:cs="Arial"/>
        </w:rPr>
      </w:pPr>
    </w:p>
    <w:p w14:paraId="2435B1E9" w14:textId="77777777" w:rsidR="00417831" w:rsidRDefault="00417831">
      <w:pPr>
        <w:spacing w:after="160" w:line="259" w:lineRule="auto"/>
        <w:rPr>
          <w:rFonts w:ascii="Arial" w:hAnsi="Arial" w:cs="Arial"/>
          <w:b/>
          <w:bCs/>
        </w:rPr>
      </w:pPr>
      <w:r>
        <w:rPr>
          <w:rFonts w:ascii="Arial" w:hAnsi="Arial" w:cs="Arial"/>
          <w:b/>
          <w:bCs/>
        </w:rPr>
        <w:br w:type="page"/>
      </w:r>
      <w:bookmarkStart w:id="0" w:name="_GoBack"/>
      <w:bookmarkEnd w:id="0"/>
    </w:p>
    <w:p w14:paraId="218CF29D" w14:textId="4E3361A4" w:rsidR="007429A8" w:rsidRPr="00D52C0E" w:rsidRDefault="007429A8" w:rsidP="000A6647">
      <w:pPr>
        <w:pStyle w:val="Heading1"/>
      </w:pPr>
      <w:r w:rsidRPr="00D52C0E">
        <w:lastRenderedPageBreak/>
        <w:t xml:space="preserve">Annex 1: Responsibilities and functions </w:t>
      </w:r>
    </w:p>
    <w:p w14:paraId="37444495" w14:textId="77777777" w:rsidR="007429A8" w:rsidRPr="00D52C0E" w:rsidRDefault="007429A8" w:rsidP="00484A9F">
      <w:pPr>
        <w:rPr>
          <w:rFonts w:ascii="Arial" w:hAnsi="Arial" w:cs="Arial"/>
        </w:rPr>
      </w:pPr>
    </w:p>
    <w:p w14:paraId="5107CFE9" w14:textId="77777777" w:rsidR="007429A8" w:rsidRPr="00D52C0E" w:rsidRDefault="007429A8" w:rsidP="00484A9F">
      <w:pPr>
        <w:rPr>
          <w:rFonts w:ascii="Arial" w:hAnsi="Arial" w:cs="Arial"/>
          <w:b/>
          <w:bCs/>
        </w:rPr>
      </w:pPr>
      <w:r w:rsidRPr="00D52C0E">
        <w:rPr>
          <w:rFonts w:ascii="Arial" w:hAnsi="Arial" w:cs="Arial"/>
          <w:b/>
          <w:bCs/>
        </w:rPr>
        <w:t xml:space="preserve">Care Quality Commission </w:t>
      </w:r>
    </w:p>
    <w:p w14:paraId="33BFF7EF" w14:textId="77777777" w:rsidR="007429A8" w:rsidRPr="00D52C0E" w:rsidRDefault="007429A8" w:rsidP="00484A9F">
      <w:pPr>
        <w:rPr>
          <w:rFonts w:ascii="Arial" w:hAnsi="Arial" w:cs="Arial"/>
        </w:rPr>
      </w:pPr>
    </w:p>
    <w:p w14:paraId="669760F1" w14:textId="35CB9782" w:rsidR="007429A8" w:rsidRPr="00D52C0E" w:rsidRDefault="002007F9" w:rsidP="00484A9F">
      <w:pPr>
        <w:rPr>
          <w:rFonts w:ascii="Arial" w:hAnsi="Arial" w:cs="Arial"/>
        </w:rPr>
      </w:pPr>
      <w:r w:rsidRPr="00D52C0E">
        <w:rPr>
          <w:rFonts w:ascii="Arial" w:hAnsi="Arial" w:cs="Arial"/>
        </w:rPr>
        <w:t xml:space="preserve">The Care Quality Commission (CQC) </w:t>
      </w:r>
      <w:r w:rsidR="007429A8" w:rsidRPr="00D52C0E">
        <w:rPr>
          <w:rFonts w:ascii="Arial" w:hAnsi="Arial" w:cs="Arial"/>
        </w:rPr>
        <w:t xml:space="preserve">is the independent regulator of health and adult social care in England. Its purpose is to make sure health and care services provide people with safe, effective, compassionate, high quality care and to encourage them to improve. </w:t>
      </w:r>
    </w:p>
    <w:p w14:paraId="586EE493" w14:textId="77777777" w:rsidR="007429A8" w:rsidRPr="00D52C0E" w:rsidRDefault="007429A8" w:rsidP="00484A9F">
      <w:pPr>
        <w:rPr>
          <w:rFonts w:ascii="Arial" w:hAnsi="Arial" w:cs="Arial"/>
        </w:rPr>
      </w:pPr>
    </w:p>
    <w:p w14:paraId="3143D23D" w14:textId="1FBC01D5" w:rsidR="007429A8" w:rsidRPr="00D52C0E" w:rsidRDefault="007429A8" w:rsidP="00484A9F">
      <w:pPr>
        <w:rPr>
          <w:rFonts w:ascii="Arial" w:hAnsi="Arial" w:cs="Arial"/>
        </w:rPr>
      </w:pPr>
      <w:r w:rsidRPr="00D52C0E">
        <w:rPr>
          <w:rFonts w:ascii="Arial" w:hAnsi="Arial" w:cs="Arial"/>
        </w:rPr>
        <w:t xml:space="preserve">CQC does this by registering, monitoring, inspecting and regulating hospitals, adult social care services, dental and general practices and other care services in England, to make sure they meet fundamental standards of quality and safety. CQC sets out what good and outstanding care looks like and make sure services meet these </w:t>
      </w:r>
      <w:r w:rsidR="001F09BD" w:rsidRPr="00D52C0E">
        <w:rPr>
          <w:rFonts w:ascii="Arial" w:hAnsi="Arial" w:cs="Arial"/>
        </w:rPr>
        <w:t xml:space="preserve">fundamental </w:t>
      </w:r>
      <w:r w:rsidRPr="00D52C0E">
        <w:rPr>
          <w:rFonts w:ascii="Arial" w:hAnsi="Arial" w:cs="Arial"/>
        </w:rPr>
        <w:t>standards which care must never fall below. CQC reports</w:t>
      </w:r>
      <w:r w:rsidR="00CF76C4" w:rsidRPr="00D52C0E">
        <w:rPr>
          <w:rFonts w:ascii="Arial" w:hAnsi="Arial" w:cs="Arial"/>
        </w:rPr>
        <w:t xml:space="preserve"> </w:t>
      </w:r>
      <w:r w:rsidRPr="00D52C0E">
        <w:rPr>
          <w:rFonts w:ascii="Arial" w:hAnsi="Arial" w:cs="Arial"/>
        </w:rPr>
        <w:t>publicly on what it finds</w:t>
      </w:r>
      <w:r w:rsidR="00676DE6" w:rsidRPr="00D52C0E">
        <w:rPr>
          <w:rFonts w:ascii="Arial" w:hAnsi="Arial" w:cs="Arial"/>
        </w:rPr>
        <w:t>,</w:t>
      </w:r>
      <w:r w:rsidRPr="00D52C0E">
        <w:rPr>
          <w:rFonts w:ascii="Arial" w:hAnsi="Arial" w:cs="Arial"/>
        </w:rPr>
        <w:t xml:space="preserve"> including performance ratings for care providers, to help people choose care and encourage providers to improve. </w:t>
      </w:r>
      <w:r w:rsidR="00781608" w:rsidRPr="00D52C0E">
        <w:rPr>
          <w:rFonts w:ascii="Arial" w:hAnsi="Arial" w:cs="Arial"/>
        </w:rPr>
        <w:t>CQC</w:t>
      </w:r>
      <w:r w:rsidRPr="00D52C0E">
        <w:rPr>
          <w:rFonts w:ascii="Arial" w:hAnsi="Arial" w:cs="Arial"/>
        </w:rPr>
        <w:t xml:space="preserve"> also reports annually to Parliament on the overall state of health and adult social care in England. </w:t>
      </w:r>
    </w:p>
    <w:p w14:paraId="11E54B26" w14:textId="77777777" w:rsidR="007429A8" w:rsidRPr="00D52C0E" w:rsidRDefault="007429A8" w:rsidP="00484A9F">
      <w:pPr>
        <w:rPr>
          <w:rFonts w:ascii="Arial" w:hAnsi="Arial" w:cs="Arial"/>
        </w:rPr>
      </w:pPr>
    </w:p>
    <w:p w14:paraId="2480B43E" w14:textId="2B5757C1" w:rsidR="007429A8" w:rsidRPr="00D52C0E" w:rsidRDefault="007429A8" w:rsidP="00484A9F">
      <w:pPr>
        <w:rPr>
          <w:rFonts w:ascii="Arial" w:hAnsi="Arial" w:cs="Arial"/>
        </w:rPr>
      </w:pPr>
      <w:r w:rsidRPr="00D52C0E">
        <w:rPr>
          <w:rFonts w:ascii="Arial" w:hAnsi="Arial" w:cs="Arial"/>
        </w:rPr>
        <w:t xml:space="preserve">Where appropriate CQC will pursue civil and/or criminal enforcement action against registered persons who provide health and social care services for breaches under </w:t>
      </w:r>
      <w:r w:rsidR="009E35FC" w:rsidRPr="00D52C0E">
        <w:rPr>
          <w:rFonts w:ascii="Arial" w:hAnsi="Arial" w:cs="Arial"/>
        </w:rPr>
        <w:t xml:space="preserve">the </w:t>
      </w:r>
      <w:r w:rsidRPr="00D52C0E">
        <w:rPr>
          <w:rFonts w:ascii="Arial" w:hAnsi="Arial" w:cs="Arial"/>
        </w:rPr>
        <w:t>H</w:t>
      </w:r>
      <w:r w:rsidR="009E35FC" w:rsidRPr="00D52C0E">
        <w:rPr>
          <w:rFonts w:ascii="Arial" w:hAnsi="Arial" w:cs="Arial"/>
        </w:rPr>
        <w:t xml:space="preserve">ealth and </w:t>
      </w:r>
      <w:r w:rsidRPr="00D52C0E">
        <w:rPr>
          <w:rFonts w:ascii="Arial" w:hAnsi="Arial" w:cs="Arial"/>
        </w:rPr>
        <w:t>S</w:t>
      </w:r>
      <w:r w:rsidR="009E35FC" w:rsidRPr="00D52C0E">
        <w:rPr>
          <w:rFonts w:ascii="Arial" w:hAnsi="Arial" w:cs="Arial"/>
        </w:rPr>
        <w:t xml:space="preserve">ocial </w:t>
      </w:r>
      <w:r w:rsidRPr="00D52C0E">
        <w:rPr>
          <w:rFonts w:ascii="Arial" w:hAnsi="Arial" w:cs="Arial"/>
        </w:rPr>
        <w:t>C</w:t>
      </w:r>
      <w:r w:rsidR="009E35FC" w:rsidRPr="00D52C0E">
        <w:rPr>
          <w:rFonts w:ascii="Arial" w:hAnsi="Arial" w:cs="Arial"/>
        </w:rPr>
        <w:t xml:space="preserve">are </w:t>
      </w:r>
      <w:r w:rsidRPr="00D52C0E">
        <w:rPr>
          <w:rFonts w:ascii="Arial" w:hAnsi="Arial" w:cs="Arial"/>
        </w:rPr>
        <w:t>A</w:t>
      </w:r>
      <w:r w:rsidR="009E35FC" w:rsidRPr="00D52C0E">
        <w:rPr>
          <w:rFonts w:ascii="Arial" w:hAnsi="Arial" w:cs="Arial"/>
        </w:rPr>
        <w:t>ct</w:t>
      </w:r>
      <w:r w:rsidRPr="00D52C0E">
        <w:rPr>
          <w:rFonts w:ascii="Arial" w:hAnsi="Arial" w:cs="Arial"/>
        </w:rPr>
        <w:t xml:space="preserve"> 2008 and </w:t>
      </w:r>
      <w:r w:rsidR="00734DD4" w:rsidRPr="00D52C0E">
        <w:rPr>
          <w:rFonts w:ascii="Arial" w:hAnsi="Arial" w:cs="Arial"/>
        </w:rPr>
        <w:t xml:space="preserve">its associated regulations, the Health and Social Care Act 2008 (Regulated Activities) Regulations 2014 </w:t>
      </w:r>
      <w:r w:rsidR="002202FD" w:rsidRPr="00D52C0E">
        <w:rPr>
          <w:rFonts w:ascii="Arial" w:hAnsi="Arial" w:cs="Arial"/>
        </w:rPr>
        <w:t>(</w:t>
      </w:r>
      <w:r w:rsidRPr="00D52C0E">
        <w:rPr>
          <w:rFonts w:ascii="Arial" w:hAnsi="Arial" w:cs="Arial"/>
        </w:rPr>
        <w:t>RAR 2014</w:t>
      </w:r>
      <w:r w:rsidR="002202FD" w:rsidRPr="00D52C0E">
        <w:rPr>
          <w:rFonts w:ascii="Arial" w:hAnsi="Arial" w:cs="Arial"/>
        </w:rPr>
        <w:t>)</w:t>
      </w:r>
      <w:r w:rsidRPr="00D52C0E">
        <w:rPr>
          <w:rFonts w:ascii="Arial" w:hAnsi="Arial" w:cs="Arial"/>
        </w:rPr>
        <w:t>,</w:t>
      </w:r>
      <w:r w:rsidR="00E407C8" w:rsidRPr="00D52C0E">
        <w:rPr>
          <w:rFonts w:ascii="Arial" w:hAnsi="Arial" w:cs="Arial"/>
        </w:rPr>
        <w:t xml:space="preserve"> and the Care Quality Commission (Registration) Regulations 2009</w:t>
      </w:r>
      <w:r w:rsidR="00D826DE" w:rsidRPr="00D52C0E">
        <w:rPr>
          <w:rFonts w:ascii="Arial" w:hAnsi="Arial" w:cs="Arial"/>
        </w:rPr>
        <w:t>.</w:t>
      </w:r>
      <w:r w:rsidR="00E407C8" w:rsidRPr="00D52C0E">
        <w:rPr>
          <w:rFonts w:ascii="Arial" w:hAnsi="Arial" w:cs="Arial"/>
        </w:rPr>
        <w:t xml:space="preserve"> </w:t>
      </w:r>
      <w:r w:rsidRPr="00D52C0E">
        <w:rPr>
          <w:rFonts w:ascii="Arial" w:hAnsi="Arial" w:cs="Arial"/>
        </w:rPr>
        <w:t xml:space="preserve"> </w:t>
      </w:r>
    </w:p>
    <w:p w14:paraId="788F7447" w14:textId="77777777" w:rsidR="007429A8" w:rsidRPr="00D52C0E" w:rsidRDefault="007429A8" w:rsidP="00484A9F">
      <w:pPr>
        <w:rPr>
          <w:rFonts w:ascii="Arial" w:hAnsi="Arial" w:cs="Arial"/>
        </w:rPr>
      </w:pPr>
    </w:p>
    <w:p w14:paraId="326CCC1E" w14:textId="1A306BB7" w:rsidR="007429A8" w:rsidRPr="00D52C0E" w:rsidRDefault="007429A8" w:rsidP="00484A9F">
      <w:pPr>
        <w:rPr>
          <w:rFonts w:ascii="Arial" w:hAnsi="Arial" w:cs="Arial"/>
        </w:rPr>
      </w:pPr>
      <w:r w:rsidRPr="00D52C0E">
        <w:rPr>
          <w:rFonts w:ascii="Arial" w:hAnsi="Arial" w:cs="Arial"/>
        </w:rPr>
        <w:t>Since 1 April 2015</w:t>
      </w:r>
      <w:r w:rsidR="002202FD" w:rsidRPr="00D52C0E">
        <w:rPr>
          <w:rFonts w:ascii="Arial" w:hAnsi="Arial" w:cs="Arial"/>
        </w:rPr>
        <w:t>,</w:t>
      </w:r>
      <w:r w:rsidRPr="00D52C0E">
        <w:rPr>
          <w:rFonts w:ascii="Arial" w:hAnsi="Arial" w:cs="Arial"/>
        </w:rPr>
        <w:t xml:space="preserve"> </w:t>
      </w:r>
      <w:r w:rsidR="002007F9" w:rsidRPr="00D52C0E">
        <w:rPr>
          <w:rFonts w:ascii="Arial" w:hAnsi="Arial" w:cs="Arial"/>
        </w:rPr>
        <w:t xml:space="preserve">CQC </w:t>
      </w:r>
      <w:r w:rsidRPr="00D52C0E">
        <w:rPr>
          <w:rFonts w:ascii="Arial" w:hAnsi="Arial" w:cs="Arial"/>
        </w:rPr>
        <w:t xml:space="preserve">has assumed enforcement responsibility for health and safety </w:t>
      </w:r>
      <w:r w:rsidR="00ED3E9A" w:rsidRPr="00D52C0E">
        <w:rPr>
          <w:rFonts w:ascii="Arial" w:hAnsi="Arial" w:cs="Arial"/>
        </w:rPr>
        <w:t xml:space="preserve">related serious </w:t>
      </w:r>
      <w:r w:rsidRPr="00D52C0E">
        <w:rPr>
          <w:rFonts w:ascii="Arial" w:hAnsi="Arial" w:cs="Arial"/>
        </w:rPr>
        <w:t>incidents where service users have sustained avoidable harm</w:t>
      </w:r>
      <w:r w:rsidR="004F3F48" w:rsidRPr="00D52C0E">
        <w:rPr>
          <w:rFonts w:ascii="Arial" w:hAnsi="Arial" w:cs="Arial"/>
        </w:rPr>
        <w:t xml:space="preserve"> including death</w:t>
      </w:r>
      <w:r w:rsidRPr="00D52C0E">
        <w:rPr>
          <w:rFonts w:ascii="Arial" w:hAnsi="Arial" w:cs="Arial"/>
        </w:rPr>
        <w:t xml:space="preserve"> or have been exposed to a significant risk of avoidable harm, as a result of a failure by the Registered Person</w:t>
      </w:r>
      <w:r w:rsidR="00F644CF" w:rsidRPr="00D52C0E">
        <w:rPr>
          <w:rFonts w:ascii="Arial" w:hAnsi="Arial" w:cs="Arial"/>
        </w:rPr>
        <w:t>.</w:t>
      </w:r>
      <w:r w:rsidRPr="00D52C0E">
        <w:rPr>
          <w:rFonts w:ascii="Arial" w:hAnsi="Arial" w:cs="Arial"/>
        </w:rPr>
        <w:t xml:space="preserve"> A Registered Person may be the Registered </w:t>
      </w:r>
      <w:r w:rsidR="003E005F" w:rsidRPr="00D52C0E">
        <w:rPr>
          <w:rFonts w:ascii="Arial" w:hAnsi="Arial" w:cs="Arial"/>
        </w:rPr>
        <w:t xml:space="preserve">Service </w:t>
      </w:r>
      <w:r w:rsidRPr="00D52C0E">
        <w:rPr>
          <w:rFonts w:ascii="Arial" w:hAnsi="Arial" w:cs="Arial"/>
        </w:rPr>
        <w:t xml:space="preserve">Provider and/or the Registered Manager. </w:t>
      </w:r>
    </w:p>
    <w:p w14:paraId="3C12A685" w14:textId="77777777" w:rsidR="002007F9" w:rsidRPr="00D52C0E" w:rsidRDefault="002007F9" w:rsidP="00484A9F">
      <w:pPr>
        <w:rPr>
          <w:rFonts w:ascii="Arial" w:hAnsi="Arial" w:cs="Arial"/>
        </w:rPr>
      </w:pPr>
    </w:p>
    <w:p w14:paraId="01F08862" w14:textId="5EEE6DB7" w:rsidR="00374EB3" w:rsidRPr="00D52C0E" w:rsidRDefault="007429A8" w:rsidP="00484A9F">
      <w:pPr>
        <w:rPr>
          <w:rFonts w:ascii="Arial" w:hAnsi="Arial" w:cs="Arial"/>
        </w:rPr>
      </w:pPr>
      <w:r w:rsidRPr="349A2C42">
        <w:rPr>
          <w:rFonts w:ascii="Arial" w:hAnsi="Arial" w:cs="Arial"/>
        </w:rPr>
        <w:t xml:space="preserve">Criminal </w:t>
      </w:r>
      <w:r w:rsidR="00717587" w:rsidRPr="349A2C42">
        <w:rPr>
          <w:rFonts w:ascii="Arial" w:hAnsi="Arial" w:cs="Arial"/>
        </w:rPr>
        <w:t>enforcement</w:t>
      </w:r>
      <w:r w:rsidRPr="349A2C42">
        <w:rPr>
          <w:rFonts w:ascii="Arial" w:hAnsi="Arial" w:cs="Arial"/>
        </w:rPr>
        <w:t xml:space="preserve"> can be brought against registered providers, registered managers and </w:t>
      </w:r>
      <w:r w:rsidR="003A13DF" w:rsidRPr="349A2C42">
        <w:rPr>
          <w:rFonts w:ascii="Arial" w:hAnsi="Arial" w:cs="Arial"/>
        </w:rPr>
        <w:t>in</w:t>
      </w:r>
      <w:r w:rsidR="00795426" w:rsidRPr="349A2C42">
        <w:rPr>
          <w:rFonts w:ascii="Arial" w:hAnsi="Arial" w:cs="Arial"/>
        </w:rPr>
        <w:t xml:space="preserve">dividual office holders or members </w:t>
      </w:r>
      <w:r w:rsidRPr="349A2C42">
        <w:rPr>
          <w:rFonts w:ascii="Arial" w:hAnsi="Arial" w:cs="Arial"/>
        </w:rPr>
        <w:t xml:space="preserve">of corporate providers. Prosecutions can arise from single specific incidents where the incident and resulting harm provides sufficient evidence of a serious breach of a prosecutable regulation by the Registered Person. Under Regulation 22(2) RAR 2014, a registered person commits an offence where they fail to comply with the following regulations and that failure also results in avoidable harm to a service user or a service user being exposed to a significant risk of avoidable harm: </w:t>
      </w:r>
    </w:p>
    <w:p w14:paraId="204C56D2" w14:textId="77777777" w:rsidR="007429A8" w:rsidRPr="00D52C0E" w:rsidRDefault="007429A8" w:rsidP="00484A9F">
      <w:pPr>
        <w:rPr>
          <w:rFonts w:ascii="Arial" w:hAnsi="Arial" w:cs="Arial"/>
        </w:rPr>
      </w:pPr>
      <w:r w:rsidRPr="00D52C0E">
        <w:rPr>
          <w:rFonts w:ascii="Arial" w:hAnsi="Arial" w:cs="Arial"/>
        </w:rPr>
        <w:t xml:space="preserve">• Regulation 12(1) RAR 2014 safe care and treatment </w:t>
      </w:r>
    </w:p>
    <w:p w14:paraId="2BAB6A84" w14:textId="77777777" w:rsidR="007429A8" w:rsidRPr="00D52C0E" w:rsidRDefault="007429A8" w:rsidP="00484A9F">
      <w:pPr>
        <w:rPr>
          <w:rFonts w:ascii="Arial" w:hAnsi="Arial" w:cs="Arial"/>
        </w:rPr>
      </w:pPr>
      <w:r w:rsidRPr="00D52C0E">
        <w:rPr>
          <w:rFonts w:ascii="Arial" w:hAnsi="Arial" w:cs="Arial"/>
        </w:rPr>
        <w:t xml:space="preserve">• Regulation 13(1) to (4) RAR 2014 safeguarding from abuse and improper treatment </w:t>
      </w:r>
    </w:p>
    <w:p w14:paraId="6A221494" w14:textId="77777777" w:rsidR="007429A8" w:rsidRPr="00D52C0E" w:rsidRDefault="007429A8" w:rsidP="00484A9F">
      <w:pPr>
        <w:rPr>
          <w:rFonts w:ascii="Arial" w:hAnsi="Arial" w:cs="Arial"/>
        </w:rPr>
      </w:pPr>
      <w:r w:rsidRPr="00D52C0E">
        <w:rPr>
          <w:rFonts w:ascii="Arial" w:hAnsi="Arial" w:cs="Arial"/>
        </w:rPr>
        <w:t xml:space="preserve">• Regulation 14(1) RAR 2014 meeting nutritional and hydration needs </w:t>
      </w:r>
    </w:p>
    <w:p w14:paraId="387C6EAC" w14:textId="77777777" w:rsidR="007429A8" w:rsidRPr="00D52C0E" w:rsidRDefault="007429A8" w:rsidP="00484A9F">
      <w:pPr>
        <w:rPr>
          <w:rFonts w:ascii="Arial" w:hAnsi="Arial" w:cs="Arial"/>
        </w:rPr>
      </w:pPr>
    </w:p>
    <w:p w14:paraId="06DC78AB" w14:textId="77777777" w:rsidR="00374EB3" w:rsidRPr="00D52C0E" w:rsidRDefault="00374EB3" w:rsidP="00484A9F">
      <w:pPr>
        <w:rPr>
          <w:rFonts w:ascii="Arial" w:hAnsi="Arial" w:cs="Arial"/>
        </w:rPr>
      </w:pPr>
    </w:p>
    <w:p w14:paraId="3E22E4E0" w14:textId="0D6C17DF" w:rsidR="00E4109B" w:rsidRPr="00D52C0E" w:rsidRDefault="00E4109B" w:rsidP="00484A9F">
      <w:pPr>
        <w:rPr>
          <w:rFonts w:ascii="Arial" w:hAnsi="Arial" w:cs="Arial"/>
        </w:rPr>
      </w:pPr>
      <w:r w:rsidRPr="00D52C0E">
        <w:rPr>
          <w:rFonts w:ascii="Arial" w:hAnsi="Arial" w:cs="Arial"/>
        </w:rPr>
        <w:br w:type="page"/>
      </w:r>
    </w:p>
    <w:p w14:paraId="18AE8E75" w14:textId="1F6D09F3" w:rsidR="007429A8" w:rsidRPr="00D52C0E" w:rsidRDefault="009D5656" w:rsidP="00484A9F">
      <w:pPr>
        <w:rPr>
          <w:rFonts w:ascii="Arial" w:hAnsi="Arial" w:cs="Arial"/>
          <w:b/>
          <w:bCs/>
        </w:rPr>
      </w:pPr>
      <w:r w:rsidRPr="00D52C0E">
        <w:rPr>
          <w:rFonts w:ascii="Arial" w:hAnsi="Arial" w:cs="Arial"/>
          <w:b/>
          <w:bCs/>
        </w:rPr>
        <w:lastRenderedPageBreak/>
        <w:t>NHS R</w:t>
      </w:r>
      <w:r w:rsidR="006A5440" w:rsidRPr="00D52C0E">
        <w:rPr>
          <w:rFonts w:ascii="Arial" w:hAnsi="Arial" w:cs="Arial"/>
          <w:b/>
          <w:bCs/>
        </w:rPr>
        <w:t>esolution</w:t>
      </w:r>
    </w:p>
    <w:p w14:paraId="7B9BED66" w14:textId="08B213CA" w:rsidR="007429A8" w:rsidRPr="00600807" w:rsidRDefault="007429A8" w:rsidP="00484A9F">
      <w:pPr>
        <w:rPr>
          <w:rFonts w:ascii="Arial" w:hAnsi="Arial" w:cs="Arial"/>
          <w:highlight w:val="yellow"/>
        </w:rPr>
      </w:pPr>
    </w:p>
    <w:p w14:paraId="32E70D6E" w14:textId="77777777" w:rsidR="00AB29DC" w:rsidRPr="00600807" w:rsidRDefault="00AB29DC" w:rsidP="00484A9F">
      <w:pPr>
        <w:rPr>
          <w:rFonts w:ascii="Arial" w:hAnsi="Arial" w:cs="Arial"/>
        </w:rPr>
      </w:pPr>
      <w:r w:rsidRPr="00600807">
        <w:rPr>
          <w:rFonts w:ascii="Arial" w:hAnsi="Arial" w:cs="Arial"/>
        </w:rPr>
        <w:t xml:space="preserve">NHS Resolution is a Special Health Authority and is legally known as the NHS Litigation Authority. It was established in 1995 for the purposes of establishing and administering indemnity schemes for meeting the liabilities of health service bodies. </w:t>
      </w:r>
    </w:p>
    <w:p w14:paraId="6285D3CF" w14:textId="77777777" w:rsidR="00863E70" w:rsidRPr="00600807" w:rsidRDefault="00863E70" w:rsidP="00484A9F">
      <w:pPr>
        <w:rPr>
          <w:rFonts w:ascii="Arial" w:hAnsi="Arial" w:cs="Arial"/>
        </w:rPr>
      </w:pPr>
    </w:p>
    <w:p w14:paraId="64FB1192" w14:textId="57F4B9B9" w:rsidR="00AB29DC" w:rsidRPr="00600807" w:rsidRDefault="00AB29DC" w:rsidP="00484A9F">
      <w:pPr>
        <w:rPr>
          <w:rFonts w:ascii="Arial" w:hAnsi="Arial" w:cs="Arial"/>
        </w:rPr>
      </w:pPr>
      <w:r w:rsidRPr="00600807">
        <w:rPr>
          <w:rFonts w:ascii="Arial" w:hAnsi="Arial" w:cs="Arial"/>
        </w:rPr>
        <w:t xml:space="preserve">NHS Resolution’s statutory functions (including functions set out in Directions) are to: </w:t>
      </w:r>
    </w:p>
    <w:p w14:paraId="13B26B22" w14:textId="77777777" w:rsidR="00863E70" w:rsidRDefault="00863E70" w:rsidP="00484A9F">
      <w:pPr>
        <w:rPr>
          <w:rFonts w:ascii="Arial" w:hAnsi="Arial" w:cs="Arial"/>
        </w:rPr>
      </w:pPr>
    </w:p>
    <w:p w14:paraId="019EFFCB" w14:textId="1DD7A334" w:rsidR="00AB29DC" w:rsidRPr="00600807" w:rsidRDefault="00AB29DC" w:rsidP="0030415F">
      <w:pPr>
        <w:pStyle w:val="ListParagraph"/>
        <w:numPr>
          <w:ilvl w:val="0"/>
          <w:numId w:val="8"/>
        </w:numPr>
        <w:rPr>
          <w:rFonts w:ascii="Arial" w:hAnsi="Arial" w:cs="Arial"/>
        </w:rPr>
      </w:pPr>
      <w:r w:rsidRPr="00800FA1">
        <w:rPr>
          <w:rFonts w:ascii="Arial" w:hAnsi="Arial" w:cs="Arial"/>
        </w:rPr>
        <w:t>Administer, on behalf of the Secretary of State, the NHS indemnity schemes established under regulations made under section 71 of the National Health Service Act 2006. A list of current schemes is</w:t>
      </w:r>
      <w:r w:rsidR="00ED2EA6" w:rsidRPr="00800FA1">
        <w:rPr>
          <w:rFonts w:ascii="Arial" w:hAnsi="Arial" w:cs="Arial"/>
        </w:rPr>
        <w:t xml:space="preserve"> </w:t>
      </w:r>
      <w:hyperlink r:id="rId16" w:history="1">
        <w:r w:rsidR="001422AD" w:rsidRPr="00600807">
          <w:rPr>
            <w:rStyle w:val="Hyperlink"/>
            <w:rFonts w:ascii="Arial" w:hAnsi="Arial" w:cs="Arial"/>
          </w:rPr>
          <w:t>Clinical schemes - NHS Resolution</w:t>
        </w:r>
      </w:hyperlink>
      <w:r w:rsidR="004A5373">
        <w:rPr>
          <w:rFonts w:ascii="Arial" w:hAnsi="Arial" w:cs="Arial"/>
        </w:rPr>
        <w:t xml:space="preserve">; </w:t>
      </w:r>
      <w:hyperlink r:id="rId17" w:history="1">
        <w:r w:rsidR="001422AD" w:rsidRPr="00600807">
          <w:rPr>
            <w:rStyle w:val="Hyperlink"/>
            <w:rFonts w:ascii="Arial" w:hAnsi="Arial" w:cs="Arial"/>
          </w:rPr>
          <w:t>Non-clinical schemes - NHS Resolution</w:t>
        </w:r>
      </w:hyperlink>
      <w:r w:rsidR="004A5373">
        <w:rPr>
          <w:rStyle w:val="Hyperlink"/>
          <w:rFonts w:ascii="Arial" w:hAnsi="Arial" w:cs="Arial"/>
        </w:rPr>
        <w:t>.</w:t>
      </w:r>
    </w:p>
    <w:p w14:paraId="1B8EA751" w14:textId="77777777" w:rsidR="00ED2EA6" w:rsidRPr="00D52C0E" w:rsidRDefault="00ED2EA6" w:rsidP="00484A9F">
      <w:pPr>
        <w:rPr>
          <w:rFonts w:ascii="Arial" w:hAnsi="Arial" w:cs="Arial"/>
        </w:rPr>
      </w:pPr>
    </w:p>
    <w:p w14:paraId="4BC7C033" w14:textId="4EBB202A" w:rsidR="00AB29DC" w:rsidRPr="00600807" w:rsidRDefault="00AB29DC" w:rsidP="0030415F">
      <w:pPr>
        <w:pStyle w:val="ListParagraph"/>
        <w:numPr>
          <w:ilvl w:val="0"/>
          <w:numId w:val="8"/>
        </w:numPr>
        <w:rPr>
          <w:rFonts w:ascii="Arial" w:hAnsi="Arial" w:cs="Arial"/>
        </w:rPr>
      </w:pPr>
      <w:r w:rsidRPr="00800FA1">
        <w:rPr>
          <w:rFonts w:ascii="Arial" w:hAnsi="Arial" w:cs="Arial"/>
        </w:rPr>
        <w:t xml:space="preserve">Provide a Primary Care Appeals </w:t>
      </w:r>
      <w:r w:rsidR="00AE0A94">
        <w:rPr>
          <w:rFonts w:ascii="Arial" w:hAnsi="Arial" w:cs="Arial"/>
        </w:rPr>
        <w:t>service</w:t>
      </w:r>
      <w:r w:rsidRPr="00800FA1">
        <w:rPr>
          <w:rFonts w:ascii="Arial" w:hAnsi="Arial" w:cs="Arial"/>
        </w:rPr>
        <w:t xml:space="preserve"> to assist in resolving disputes and appeals involving GPs, dentists, opticians and other health care professionals with a view to supporting effective primary care contracting, in accordance with the NHS Litigation </w:t>
      </w:r>
      <w:r w:rsidRPr="00600807">
        <w:rPr>
          <w:rFonts w:ascii="Arial" w:hAnsi="Arial" w:cs="Arial"/>
        </w:rPr>
        <w:t xml:space="preserve">Authority (Functions) (England) Directions 2005 and other associated Directions; </w:t>
      </w:r>
    </w:p>
    <w:p w14:paraId="4F6A5FC8" w14:textId="14E74479" w:rsidR="588EF216" w:rsidRPr="00600807" w:rsidRDefault="588EF216" w:rsidP="000A6647">
      <w:pPr>
        <w:rPr>
          <w:rFonts w:ascii="Arial" w:eastAsia="Calibri" w:hAnsi="Arial" w:cs="Arial"/>
        </w:rPr>
      </w:pPr>
    </w:p>
    <w:p w14:paraId="492539DF" w14:textId="4AB58C3E" w:rsidR="00AB29DC" w:rsidRPr="00600807" w:rsidRDefault="00AB29DC" w:rsidP="0030415F">
      <w:pPr>
        <w:pStyle w:val="ListParagraph"/>
        <w:numPr>
          <w:ilvl w:val="0"/>
          <w:numId w:val="8"/>
        </w:numPr>
        <w:rPr>
          <w:rFonts w:ascii="Arial" w:hAnsi="Arial" w:cs="Arial"/>
        </w:rPr>
      </w:pPr>
      <w:r w:rsidRPr="00600807">
        <w:rPr>
          <w:rFonts w:ascii="Arial" w:hAnsi="Arial" w:cs="Arial"/>
        </w:rPr>
        <w:t xml:space="preserve">Administer, in accordance with the National Health Service (Performers Lists) (England) Regulations 2013, a list of healthcare performers who have had action taken against them by primary health commissioners; </w:t>
      </w:r>
    </w:p>
    <w:p w14:paraId="31D1FABE" w14:textId="77777777" w:rsidR="00ED2EA6" w:rsidRPr="00600807" w:rsidRDefault="00ED2EA6" w:rsidP="00484A9F">
      <w:pPr>
        <w:rPr>
          <w:rFonts w:ascii="Arial" w:hAnsi="Arial" w:cs="Arial"/>
        </w:rPr>
      </w:pPr>
    </w:p>
    <w:p w14:paraId="342A010B" w14:textId="1D6C5FB7" w:rsidR="00AB29DC" w:rsidRPr="00600807" w:rsidRDefault="00AB29DC" w:rsidP="0030415F">
      <w:pPr>
        <w:pStyle w:val="ListParagraph"/>
        <w:numPr>
          <w:ilvl w:val="0"/>
          <w:numId w:val="8"/>
        </w:numPr>
        <w:rPr>
          <w:rFonts w:ascii="Arial" w:hAnsi="Arial" w:cs="Arial"/>
        </w:rPr>
      </w:pPr>
      <w:r w:rsidRPr="00600807">
        <w:rPr>
          <w:rFonts w:ascii="Arial" w:hAnsi="Arial" w:cs="Arial"/>
        </w:rPr>
        <w:t xml:space="preserve">Provide, in accordance with the NHS Litigation Authority Directions 2013, an Advice Service to help improve and promote patient safety by resolving concerns about the professional practice of doctors, dentists and pharmacists. The </w:t>
      </w:r>
      <w:r w:rsidR="00AE0A94" w:rsidRPr="00600807">
        <w:rPr>
          <w:rFonts w:ascii="Arial" w:hAnsi="Arial" w:cs="Arial"/>
        </w:rPr>
        <w:t xml:space="preserve">Practitioner </w:t>
      </w:r>
      <w:r w:rsidR="00B96AC9" w:rsidRPr="00600807">
        <w:rPr>
          <w:rFonts w:ascii="Arial" w:hAnsi="Arial" w:cs="Arial"/>
        </w:rPr>
        <w:t xml:space="preserve">Performance </w:t>
      </w:r>
      <w:r w:rsidRPr="00600807">
        <w:rPr>
          <w:rFonts w:ascii="Arial" w:hAnsi="Arial" w:cs="Arial"/>
        </w:rPr>
        <w:t xml:space="preserve">Advice Service provides expert advice, support, interventions, and training to the NHS, devolved administrations and other healthcare partners; </w:t>
      </w:r>
    </w:p>
    <w:p w14:paraId="45BD7918" w14:textId="77777777" w:rsidR="00ED2EA6" w:rsidRPr="00600807" w:rsidRDefault="00ED2EA6" w:rsidP="00484A9F">
      <w:pPr>
        <w:rPr>
          <w:rFonts w:ascii="Arial" w:hAnsi="Arial" w:cs="Arial"/>
        </w:rPr>
      </w:pPr>
    </w:p>
    <w:p w14:paraId="4A76E574" w14:textId="630C915A" w:rsidR="00AB29DC" w:rsidRPr="00600807" w:rsidRDefault="00AB29DC" w:rsidP="0030415F">
      <w:pPr>
        <w:pStyle w:val="ListParagraph"/>
        <w:numPr>
          <w:ilvl w:val="0"/>
          <w:numId w:val="8"/>
        </w:numPr>
        <w:rPr>
          <w:rFonts w:ascii="Arial" w:hAnsi="Arial" w:cs="Arial"/>
        </w:rPr>
      </w:pPr>
      <w:r w:rsidRPr="00600807">
        <w:rPr>
          <w:rFonts w:ascii="Arial" w:hAnsi="Arial" w:cs="Arial"/>
        </w:rPr>
        <w:t xml:space="preserve">Issue Health Professional Alert Notices (HPANs) to NHS bodies and others about healthcare professionals whose performance gives rise to concerns in accordance with the NHS Litigation Authority (Amendment) Directions 2019; </w:t>
      </w:r>
    </w:p>
    <w:p w14:paraId="7431033B" w14:textId="77777777" w:rsidR="00C41A85" w:rsidRPr="00600807" w:rsidRDefault="00C41A85" w:rsidP="00484A9F">
      <w:pPr>
        <w:rPr>
          <w:rFonts w:ascii="Arial" w:hAnsi="Arial" w:cs="Arial"/>
        </w:rPr>
      </w:pPr>
    </w:p>
    <w:p w14:paraId="4E4D608A" w14:textId="4FE15C4A" w:rsidR="00AB29DC" w:rsidRPr="00600807" w:rsidRDefault="00AB29DC" w:rsidP="0030415F">
      <w:pPr>
        <w:pStyle w:val="ListParagraph"/>
        <w:numPr>
          <w:ilvl w:val="0"/>
          <w:numId w:val="8"/>
        </w:numPr>
        <w:rPr>
          <w:rFonts w:ascii="Arial" w:hAnsi="Arial" w:cs="Arial"/>
        </w:rPr>
      </w:pPr>
      <w:r w:rsidRPr="00600807">
        <w:rPr>
          <w:rFonts w:ascii="Arial" w:hAnsi="Arial" w:cs="Arial"/>
        </w:rPr>
        <w:t xml:space="preserve">Ensure that the lessons learned from claims and the other activities of NHS Resolution are appropriately shared in order to help reduce adverse incidents in the future, in accordance with the NHS Litigation Authority (Safety and Learning) Directions 2019. </w:t>
      </w:r>
    </w:p>
    <w:p w14:paraId="007755D6" w14:textId="55502446" w:rsidR="00D20231" w:rsidRPr="00D52C0E" w:rsidRDefault="00D20231" w:rsidP="00D20231">
      <w:pPr>
        <w:rPr>
          <w:rFonts w:ascii="Arial" w:hAnsi="Arial" w:cs="Arial"/>
        </w:rPr>
      </w:pPr>
    </w:p>
    <w:sectPr w:rsidR="00D20231" w:rsidRPr="00D52C0E" w:rsidSect="009D5656">
      <w:pgSz w:w="11906" w:h="16838"/>
      <w:pgMar w:top="1440" w:right="1440" w:bottom="1440" w:left="1440" w:header="708" w:footer="708"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099D22" w16cex:dateUtc="2021-10-07T23:21:00Z"/>
  <w16cex:commentExtensible w16cex:durableId="250AC02C" w16cex:dateUtc="2021-10-08T20:03:00Z"/>
  <w16cex:commentExtensible w16cex:durableId="2509A0E1" w16cex:dateUtc="2021-10-07T23:37:00Z"/>
  <w16cex:commentExtensible w16cex:durableId="250AC709" w16cex:dateUtc="2021-10-08T20:32:00Z"/>
  <w16cex:commentExtensible w16cex:durableId="2509A10E" w16cex:dateUtc="2021-10-07T23:38:00Z"/>
  <w16cex:commentExtensible w16cex:durableId="2509A154" w16cex:dateUtc="2021-10-07T23:39:00Z"/>
  <w16cex:commentExtensible w16cex:durableId="250AC9BD" w16cex:dateUtc="2021-10-08T20:44:00Z"/>
  <w16cex:commentExtensible w16cex:durableId="250AC7D4" w16cex:dateUtc="2021-10-08T20:36:00Z"/>
  <w16cex:commentExtensible w16cex:durableId="2509A07D" w16cex:dateUtc="2021-10-07T23:36:00Z"/>
  <w16cex:commentExtensible w16cex:durableId="250AC909" w16cex:dateUtc="2021-10-08T20:41:00Z"/>
  <w16cex:commentExtensible w16cex:durableId="250ACAF4" w16cex:dateUtc="2021-10-08T20:49:00Z"/>
  <w16cex:commentExtensible w16cex:durableId="1B831475" w16cex:dateUtc="2021-11-24T15:57:21.844Z"/>
  <w16cex:commentExtensible w16cex:durableId="57B848CD" w16cex:dateUtc="2021-11-24T15:58:25.615Z"/>
  <w16cex:commentExtensible w16cex:durableId="61D07DA4" w16cex:dateUtc="2021-11-24T17:26:05.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9E64" w14:textId="77777777" w:rsidR="00544781" w:rsidRDefault="00544781" w:rsidP="006A47BD">
      <w:r>
        <w:separator/>
      </w:r>
    </w:p>
  </w:endnote>
  <w:endnote w:type="continuationSeparator" w:id="0">
    <w:p w14:paraId="2C1DDDA2" w14:textId="77777777" w:rsidR="00544781" w:rsidRDefault="00544781" w:rsidP="006A47BD">
      <w:r>
        <w:continuationSeparator/>
      </w:r>
    </w:p>
  </w:endnote>
  <w:endnote w:type="continuationNotice" w:id="1">
    <w:p w14:paraId="0B7E4E4E" w14:textId="77777777" w:rsidR="00544781" w:rsidRDefault="00544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5870" w14:textId="77777777" w:rsidR="00544781" w:rsidRDefault="00544781" w:rsidP="006A47BD">
      <w:r>
        <w:separator/>
      </w:r>
    </w:p>
  </w:footnote>
  <w:footnote w:type="continuationSeparator" w:id="0">
    <w:p w14:paraId="0841F46E" w14:textId="77777777" w:rsidR="00544781" w:rsidRDefault="00544781" w:rsidP="006A47BD">
      <w:r>
        <w:continuationSeparator/>
      </w:r>
    </w:p>
  </w:footnote>
  <w:footnote w:type="continuationNotice" w:id="1">
    <w:p w14:paraId="01D22A8C" w14:textId="77777777" w:rsidR="00544781" w:rsidRDefault="005447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793F"/>
    <w:multiLevelType w:val="hybridMultilevel"/>
    <w:tmpl w:val="0338C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D33758"/>
    <w:multiLevelType w:val="hybridMultilevel"/>
    <w:tmpl w:val="BA32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41B2D"/>
    <w:multiLevelType w:val="hybridMultilevel"/>
    <w:tmpl w:val="79FAE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4E0C08"/>
    <w:multiLevelType w:val="hybridMultilevel"/>
    <w:tmpl w:val="A7306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F90F6D"/>
    <w:multiLevelType w:val="hybridMultilevel"/>
    <w:tmpl w:val="27541566"/>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6C717DBF"/>
    <w:multiLevelType w:val="hybridMultilevel"/>
    <w:tmpl w:val="C830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640F75"/>
    <w:multiLevelType w:val="hybridMultilevel"/>
    <w:tmpl w:val="400A28C0"/>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7" w15:restartNumberingAfterBreak="0">
    <w:nsid w:val="7E084E86"/>
    <w:multiLevelType w:val="hybridMultilevel"/>
    <w:tmpl w:val="79D8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6"/>
  </w:num>
  <w:num w:numId="6">
    <w:abstractNumId w:val="3"/>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A8"/>
    <w:rsid w:val="00003D39"/>
    <w:rsid w:val="00003FED"/>
    <w:rsid w:val="00012657"/>
    <w:rsid w:val="00013E11"/>
    <w:rsid w:val="000174CE"/>
    <w:rsid w:val="000238A0"/>
    <w:rsid w:val="00026ABD"/>
    <w:rsid w:val="00030A03"/>
    <w:rsid w:val="00034370"/>
    <w:rsid w:val="0003640D"/>
    <w:rsid w:val="0004469B"/>
    <w:rsid w:val="00045BB2"/>
    <w:rsid w:val="000473AB"/>
    <w:rsid w:val="00050FB2"/>
    <w:rsid w:val="0006133F"/>
    <w:rsid w:val="00061376"/>
    <w:rsid w:val="00062056"/>
    <w:rsid w:val="00065BD2"/>
    <w:rsid w:val="00071814"/>
    <w:rsid w:val="00071B63"/>
    <w:rsid w:val="00081E05"/>
    <w:rsid w:val="000846E5"/>
    <w:rsid w:val="00097FF2"/>
    <w:rsid w:val="000A235D"/>
    <w:rsid w:val="000A6647"/>
    <w:rsid w:val="000B0E87"/>
    <w:rsid w:val="000C21E0"/>
    <w:rsid w:val="000C31A0"/>
    <w:rsid w:val="000C4756"/>
    <w:rsid w:val="000C673A"/>
    <w:rsid w:val="000D0B08"/>
    <w:rsid w:val="000D14D0"/>
    <w:rsid w:val="000E5242"/>
    <w:rsid w:val="001058C1"/>
    <w:rsid w:val="001064F1"/>
    <w:rsid w:val="00113630"/>
    <w:rsid w:val="00116A50"/>
    <w:rsid w:val="0013567D"/>
    <w:rsid w:val="001422AD"/>
    <w:rsid w:val="0015227A"/>
    <w:rsid w:val="00153B9B"/>
    <w:rsid w:val="00154C3C"/>
    <w:rsid w:val="00164FF2"/>
    <w:rsid w:val="00166966"/>
    <w:rsid w:val="00170F29"/>
    <w:rsid w:val="00172202"/>
    <w:rsid w:val="0017601D"/>
    <w:rsid w:val="00180D7D"/>
    <w:rsid w:val="001828C0"/>
    <w:rsid w:val="00185777"/>
    <w:rsid w:val="001859FC"/>
    <w:rsid w:val="001907B0"/>
    <w:rsid w:val="00197E7E"/>
    <w:rsid w:val="001A2097"/>
    <w:rsid w:val="001A2F89"/>
    <w:rsid w:val="001A59D8"/>
    <w:rsid w:val="001A68E0"/>
    <w:rsid w:val="001A69EB"/>
    <w:rsid w:val="001B1719"/>
    <w:rsid w:val="001B5A38"/>
    <w:rsid w:val="001C0461"/>
    <w:rsid w:val="001C3D14"/>
    <w:rsid w:val="001C5DBC"/>
    <w:rsid w:val="001D1DEE"/>
    <w:rsid w:val="001D6E7B"/>
    <w:rsid w:val="001D76C8"/>
    <w:rsid w:val="001D7B86"/>
    <w:rsid w:val="001E0E9F"/>
    <w:rsid w:val="001E59D8"/>
    <w:rsid w:val="001F09BD"/>
    <w:rsid w:val="001F188A"/>
    <w:rsid w:val="001F5D89"/>
    <w:rsid w:val="001F662A"/>
    <w:rsid w:val="001F71B5"/>
    <w:rsid w:val="002002EC"/>
    <w:rsid w:val="002007F9"/>
    <w:rsid w:val="002052A7"/>
    <w:rsid w:val="00205557"/>
    <w:rsid w:val="002202FD"/>
    <w:rsid w:val="00220E6A"/>
    <w:rsid w:val="002216D9"/>
    <w:rsid w:val="00224583"/>
    <w:rsid w:val="00237890"/>
    <w:rsid w:val="0024045D"/>
    <w:rsid w:val="0024308E"/>
    <w:rsid w:val="002470B8"/>
    <w:rsid w:val="00252B1E"/>
    <w:rsid w:val="002613C2"/>
    <w:rsid w:val="00266C93"/>
    <w:rsid w:val="00270DF5"/>
    <w:rsid w:val="00272275"/>
    <w:rsid w:val="00280F98"/>
    <w:rsid w:val="0028508A"/>
    <w:rsid w:val="00286E58"/>
    <w:rsid w:val="00293E00"/>
    <w:rsid w:val="00296430"/>
    <w:rsid w:val="00297A14"/>
    <w:rsid w:val="002A1790"/>
    <w:rsid w:val="002C0B3B"/>
    <w:rsid w:val="002C7BDD"/>
    <w:rsid w:val="002D1CC8"/>
    <w:rsid w:val="002E3596"/>
    <w:rsid w:val="002E5866"/>
    <w:rsid w:val="002F79A6"/>
    <w:rsid w:val="00300FA6"/>
    <w:rsid w:val="00303509"/>
    <w:rsid w:val="0030415F"/>
    <w:rsid w:val="003047BF"/>
    <w:rsid w:val="003047C5"/>
    <w:rsid w:val="003178F4"/>
    <w:rsid w:val="003240C4"/>
    <w:rsid w:val="00326F9C"/>
    <w:rsid w:val="00330899"/>
    <w:rsid w:val="0033137B"/>
    <w:rsid w:val="003315C9"/>
    <w:rsid w:val="00337C15"/>
    <w:rsid w:val="0034038B"/>
    <w:rsid w:val="00340DAA"/>
    <w:rsid w:val="003451EC"/>
    <w:rsid w:val="00347181"/>
    <w:rsid w:val="00360732"/>
    <w:rsid w:val="0036130D"/>
    <w:rsid w:val="003632E4"/>
    <w:rsid w:val="00374EB3"/>
    <w:rsid w:val="00376705"/>
    <w:rsid w:val="00396997"/>
    <w:rsid w:val="003A13DF"/>
    <w:rsid w:val="003A6418"/>
    <w:rsid w:val="003B0118"/>
    <w:rsid w:val="003B1B64"/>
    <w:rsid w:val="003B4C20"/>
    <w:rsid w:val="003C2623"/>
    <w:rsid w:val="003C2E6F"/>
    <w:rsid w:val="003D0188"/>
    <w:rsid w:val="003D0CFB"/>
    <w:rsid w:val="003D48D7"/>
    <w:rsid w:val="003D734F"/>
    <w:rsid w:val="003E005F"/>
    <w:rsid w:val="003E0EC7"/>
    <w:rsid w:val="003E10C2"/>
    <w:rsid w:val="003E67ED"/>
    <w:rsid w:val="003F10A8"/>
    <w:rsid w:val="003F62F7"/>
    <w:rsid w:val="003F795C"/>
    <w:rsid w:val="004006B0"/>
    <w:rsid w:val="00403880"/>
    <w:rsid w:val="00404EBA"/>
    <w:rsid w:val="00416380"/>
    <w:rsid w:val="004172A7"/>
    <w:rsid w:val="00417831"/>
    <w:rsid w:val="00432D2D"/>
    <w:rsid w:val="00441A1A"/>
    <w:rsid w:val="004465DA"/>
    <w:rsid w:val="0045556F"/>
    <w:rsid w:val="00455E8C"/>
    <w:rsid w:val="00463D2C"/>
    <w:rsid w:val="00465EF2"/>
    <w:rsid w:val="00475D5B"/>
    <w:rsid w:val="00480F60"/>
    <w:rsid w:val="0048406D"/>
    <w:rsid w:val="004844A5"/>
    <w:rsid w:val="00484A9F"/>
    <w:rsid w:val="00492885"/>
    <w:rsid w:val="0049384F"/>
    <w:rsid w:val="0049593A"/>
    <w:rsid w:val="00497561"/>
    <w:rsid w:val="004A4FB9"/>
    <w:rsid w:val="004A5373"/>
    <w:rsid w:val="004B0B14"/>
    <w:rsid w:val="004B1237"/>
    <w:rsid w:val="004B329B"/>
    <w:rsid w:val="004B4807"/>
    <w:rsid w:val="004B7AB8"/>
    <w:rsid w:val="004D02EE"/>
    <w:rsid w:val="004D1472"/>
    <w:rsid w:val="004D2B06"/>
    <w:rsid w:val="004D7245"/>
    <w:rsid w:val="004E7CFF"/>
    <w:rsid w:val="004F3F48"/>
    <w:rsid w:val="004F684D"/>
    <w:rsid w:val="00503246"/>
    <w:rsid w:val="00504D9B"/>
    <w:rsid w:val="0050540D"/>
    <w:rsid w:val="00506E37"/>
    <w:rsid w:val="00525E7C"/>
    <w:rsid w:val="00526E81"/>
    <w:rsid w:val="00535757"/>
    <w:rsid w:val="005372C1"/>
    <w:rsid w:val="005424A4"/>
    <w:rsid w:val="00544781"/>
    <w:rsid w:val="00546FA2"/>
    <w:rsid w:val="00551675"/>
    <w:rsid w:val="00563E3B"/>
    <w:rsid w:val="00580EC9"/>
    <w:rsid w:val="0058399A"/>
    <w:rsid w:val="0058634B"/>
    <w:rsid w:val="005866F3"/>
    <w:rsid w:val="00594FFD"/>
    <w:rsid w:val="005A4D62"/>
    <w:rsid w:val="005B06D9"/>
    <w:rsid w:val="005B5FF5"/>
    <w:rsid w:val="005C1A36"/>
    <w:rsid w:val="005C2615"/>
    <w:rsid w:val="005C41B2"/>
    <w:rsid w:val="005D7348"/>
    <w:rsid w:val="005E0E81"/>
    <w:rsid w:val="005E31E1"/>
    <w:rsid w:val="005F3839"/>
    <w:rsid w:val="005F49A6"/>
    <w:rsid w:val="005F797C"/>
    <w:rsid w:val="00600807"/>
    <w:rsid w:val="00601D6E"/>
    <w:rsid w:val="00605478"/>
    <w:rsid w:val="00607C80"/>
    <w:rsid w:val="006226CD"/>
    <w:rsid w:val="00622D40"/>
    <w:rsid w:val="00625CEE"/>
    <w:rsid w:val="0063032F"/>
    <w:rsid w:val="00646DD9"/>
    <w:rsid w:val="00652B4F"/>
    <w:rsid w:val="00656C0E"/>
    <w:rsid w:val="00661227"/>
    <w:rsid w:val="006629AE"/>
    <w:rsid w:val="00667D90"/>
    <w:rsid w:val="00672F80"/>
    <w:rsid w:val="0067541D"/>
    <w:rsid w:val="00676DE6"/>
    <w:rsid w:val="006813DD"/>
    <w:rsid w:val="00686E86"/>
    <w:rsid w:val="00690D5B"/>
    <w:rsid w:val="006921B6"/>
    <w:rsid w:val="00693922"/>
    <w:rsid w:val="00694E41"/>
    <w:rsid w:val="006A47BD"/>
    <w:rsid w:val="006A5440"/>
    <w:rsid w:val="006B153D"/>
    <w:rsid w:val="006B4735"/>
    <w:rsid w:val="006D15D0"/>
    <w:rsid w:val="006D7A5B"/>
    <w:rsid w:val="006E00D6"/>
    <w:rsid w:val="006E58B6"/>
    <w:rsid w:val="006E656C"/>
    <w:rsid w:val="006E723E"/>
    <w:rsid w:val="006F02C9"/>
    <w:rsid w:val="006F5A07"/>
    <w:rsid w:val="006F6D19"/>
    <w:rsid w:val="0070006E"/>
    <w:rsid w:val="0070793A"/>
    <w:rsid w:val="007135C2"/>
    <w:rsid w:val="00714491"/>
    <w:rsid w:val="00717587"/>
    <w:rsid w:val="00722AB1"/>
    <w:rsid w:val="00734DD4"/>
    <w:rsid w:val="0074012A"/>
    <w:rsid w:val="007429A8"/>
    <w:rsid w:val="00742AA9"/>
    <w:rsid w:val="00747FAE"/>
    <w:rsid w:val="00766522"/>
    <w:rsid w:val="00777FC9"/>
    <w:rsid w:val="00781608"/>
    <w:rsid w:val="00784D2F"/>
    <w:rsid w:val="007946FD"/>
    <w:rsid w:val="00795426"/>
    <w:rsid w:val="007A08CB"/>
    <w:rsid w:val="007A30ED"/>
    <w:rsid w:val="007A3625"/>
    <w:rsid w:val="007A396E"/>
    <w:rsid w:val="007A5D40"/>
    <w:rsid w:val="007A60A1"/>
    <w:rsid w:val="007B37BD"/>
    <w:rsid w:val="007B7DE0"/>
    <w:rsid w:val="007C34EC"/>
    <w:rsid w:val="007C6F5D"/>
    <w:rsid w:val="007D1FA6"/>
    <w:rsid w:val="007D25D4"/>
    <w:rsid w:val="007E5310"/>
    <w:rsid w:val="007E7CBF"/>
    <w:rsid w:val="007F43A3"/>
    <w:rsid w:val="007F7172"/>
    <w:rsid w:val="00800FA1"/>
    <w:rsid w:val="00807F67"/>
    <w:rsid w:val="00814906"/>
    <w:rsid w:val="00814EC7"/>
    <w:rsid w:val="00816BC1"/>
    <w:rsid w:val="008217E9"/>
    <w:rsid w:val="00823ACD"/>
    <w:rsid w:val="00823B9B"/>
    <w:rsid w:val="0082780C"/>
    <w:rsid w:val="00827E3E"/>
    <w:rsid w:val="00843527"/>
    <w:rsid w:val="00850738"/>
    <w:rsid w:val="00851082"/>
    <w:rsid w:val="00852949"/>
    <w:rsid w:val="00853772"/>
    <w:rsid w:val="00862ACB"/>
    <w:rsid w:val="00863E70"/>
    <w:rsid w:val="00876030"/>
    <w:rsid w:val="00884EEA"/>
    <w:rsid w:val="00897441"/>
    <w:rsid w:val="008A5662"/>
    <w:rsid w:val="008B12BF"/>
    <w:rsid w:val="008B2B58"/>
    <w:rsid w:val="008B7E52"/>
    <w:rsid w:val="008C1E17"/>
    <w:rsid w:val="008C4537"/>
    <w:rsid w:val="008C49D3"/>
    <w:rsid w:val="008D33FC"/>
    <w:rsid w:val="008E4175"/>
    <w:rsid w:val="008E6BCD"/>
    <w:rsid w:val="008F29DF"/>
    <w:rsid w:val="008F3504"/>
    <w:rsid w:val="008F47BB"/>
    <w:rsid w:val="008F5BC7"/>
    <w:rsid w:val="008F7022"/>
    <w:rsid w:val="008F7F41"/>
    <w:rsid w:val="009057D2"/>
    <w:rsid w:val="0091160D"/>
    <w:rsid w:val="00927B5E"/>
    <w:rsid w:val="00936EDD"/>
    <w:rsid w:val="00936FF2"/>
    <w:rsid w:val="009445EF"/>
    <w:rsid w:val="00946002"/>
    <w:rsid w:val="0095297E"/>
    <w:rsid w:val="009530FB"/>
    <w:rsid w:val="00957B44"/>
    <w:rsid w:val="00965B57"/>
    <w:rsid w:val="00966054"/>
    <w:rsid w:val="00971844"/>
    <w:rsid w:val="009733A9"/>
    <w:rsid w:val="00973AE5"/>
    <w:rsid w:val="009755F9"/>
    <w:rsid w:val="00993004"/>
    <w:rsid w:val="009964A8"/>
    <w:rsid w:val="009A2711"/>
    <w:rsid w:val="009B4B52"/>
    <w:rsid w:val="009C1FDD"/>
    <w:rsid w:val="009C3EF0"/>
    <w:rsid w:val="009C6D77"/>
    <w:rsid w:val="009D1702"/>
    <w:rsid w:val="009D5656"/>
    <w:rsid w:val="009D779E"/>
    <w:rsid w:val="009E055C"/>
    <w:rsid w:val="009E35FC"/>
    <w:rsid w:val="009F032E"/>
    <w:rsid w:val="009F5407"/>
    <w:rsid w:val="00A050CA"/>
    <w:rsid w:val="00A11740"/>
    <w:rsid w:val="00A15D34"/>
    <w:rsid w:val="00A25B3E"/>
    <w:rsid w:val="00A25BC3"/>
    <w:rsid w:val="00A26870"/>
    <w:rsid w:val="00A3074D"/>
    <w:rsid w:val="00A32E9D"/>
    <w:rsid w:val="00A4046D"/>
    <w:rsid w:val="00A409B8"/>
    <w:rsid w:val="00A43FDE"/>
    <w:rsid w:val="00A44FD9"/>
    <w:rsid w:val="00A45424"/>
    <w:rsid w:val="00A51338"/>
    <w:rsid w:val="00A532A5"/>
    <w:rsid w:val="00A61119"/>
    <w:rsid w:val="00A6655C"/>
    <w:rsid w:val="00A678F9"/>
    <w:rsid w:val="00A7011F"/>
    <w:rsid w:val="00A73D9E"/>
    <w:rsid w:val="00A77F0A"/>
    <w:rsid w:val="00A84607"/>
    <w:rsid w:val="00A879FB"/>
    <w:rsid w:val="00A87BF2"/>
    <w:rsid w:val="00A9240A"/>
    <w:rsid w:val="00AA1A84"/>
    <w:rsid w:val="00AA3489"/>
    <w:rsid w:val="00AB29DC"/>
    <w:rsid w:val="00AB516D"/>
    <w:rsid w:val="00AB5BB3"/>
    <w:rsid w:val="00AC33D7"/>
    <w:rsid w:val="00AC5581"/>
    <w:rsid w:val="00AC64FC"/>
    <w:rsid w:val="00AC6B00"/>
    <w:rsid w:val="00AD300B"/>
    <w:rsid w:val="00AD3077"/>
    <w:rsid w:val="00AD43C0"/>
    <w:rsid w:val="00AD55E1"/>
    <w:rsid w:val="00AD7E53"/>
    <w:rsid w:val="00AE0A94"/>
    <w:rsid w:val="00AE1844"/>
    <w:rsid w:val="00B0058F"/>
    <w:rsid w:val="00B00EB1"/>
    <w:rsid w:val="00B02C45"/>
    <w:rsid w:val="00B179B0"/>
    <w:rsid w:val="00B17EDC"/>
    <w:rsid w:val="00B242D5"/>
    <w:rsid w:val="00B30A0B"/>
    <w:rsid w:val="00B32AB4"/>
    <w:rsid w:val="00B414D0"/>
    <w:rsid w:val="00B41B96"/>
    <w:rsid w:val="00B41DD5"/>
    <w:rsid w:val="00B44E8E"/>
    <w:rsid w:val="00B52A71"/>
    <w:rsid w:val="00B553D6"/>
    <w:rsid w:val="00B5571E"/>
    <w:rsid w:val="00B63D9B"/>
    <w:rsid w:val="00B737D1"/>
    <w:rsid w:val="00B8051F"/>
    <w:rsid w:val="00B90100"/>
    <w:rsid w:val="00B952C1"/>
    <w:rsid w:val="00B961E7"/>
    <w:rsid w:val="00B96AC9"/>
    <w:rsid w:val="00B96E21"/>
    <w:rsid w:val="00B97B2B"/>
    <w:rsid w:val="00BA2573"/>
    <w:rsid w:val="00BA62C9"/>
    <w:rsid w:val="00BA68EB"/>
    <w:rsid w:val="00BB12BD"/>
    <w:rsid w:val="00BB1C59"/>
    <w:rsid w:val="00BD0E73"/>
    <w:rsid w:val="00BD5D9D"/>
    <w:rsid w:val="00BD6FF7"/>
    <w:rsid w:val="00BE02F2"/>
    <w:rsid w:val="00BE080F"/>
    <w:rsid w:val="00BE4D0B"/>
    <w:rsid w:val="00BE65BA"/>
    <w:rsid w:val="00BF1B01"/>
    <w:rsid w:val="00BF446C"/>
    <w:rsid w:val="00BF4AB7"/>
    <w:rsid w:val="00BF6591"/>
    <w:rsid w:val="00BF6847"/>
    <w:rsid w:val="00C02BA4"/>
    <w:rsid w:val="00C03984"/>
    <w:rsid w:val="00C10955"/>
    <w:rsid w:val="00C1238C"/>
    <w:rsid w:val="00C1419A"/>
    <w:rsid w:val="00C14527"/>
    <w:rsid w:val="00C146B8"/>
    <w:rsid w:val="00C14B1D"/>
    <w:rsid w:val="00C23E47"/>
    <w:rsid w:val="00C23E80"/>
    <w:rsid w:val="00C27404"/>
    <w:rsid w:val="00C3489A"/>
    <w:rsid w:val="00C41A85"/>
    <w:rsid w:val="00C42D25"/>
    <w:rsid w:val="00C43C96"/>
    <w:rsid w:val="00C47ADA"/>
    <w:rsid w:val="00C81048"/>
    <w:rsid w:val="00C82143"/>
    <w:rsid w:val="00C84FB8"/>
    <w:rsid w:val="00C85075"/>
    <w:rsid w:val="00CA0CEB"/>
    <w:rsid w:val="00CA74DF"/>
    <w:rsid w:val="00CB108C"/>
    <w:rsid w:val="00CB5BBC"/>
    <w:rsid w:val="00CC4047"/>
    <w:rsid w:val="00CC77CC"/>
    <w:rsid w:val="00CD3C9F"/>
    <w:rsid w:val="00CD7AED"/>
    <w:rsid w:val="00CE08AC"/>
    <w:rsid w:val="00CF0873"/>
    <w:rsid w:val="00CF2E38"/>
    <w:rsid w:val="00CF76C4"/>
    <w:rsid w:val="00D03CA9"/>
    <w:rsid w:val="00D04DD9"/>
    <w:rsid w:val="00D12991"/>
    <w:rsid w:val="00D13031"/>
    <w:rsid w:val="00D1499E"/>
    <w:rsid w:val="00D20231"/>
    <w:rsid w:val="00D20E52"/>
    <w:rsid w:val="00D20FC2"/>
    <w:rsid w:val="00D22854"/>
    <w:rsid w:val="00D25476"/>
    <w:rsid w:val="00D37307"/>
    <w:rsid w:val="00D412FA"/>
    <w:rsid w:val="00D41B25"/>
    <w:rsid w:val="00D42F9A"/>
    <w:rsid w:val="00D44942"/>
    <w:rsid w:val="00D47D9C"/>
    <w:rsid w:val="00D52555"/>
    <w:rsid w:val="00D52C0E"/>
    <w:rsid w:val="00D61D49"/>
    <w:rsid w:val="00D66BD8"/>
    <w:rsid w:val="00D81669"/>
    <w:rsid w:val="00D81C6E"/>
    <w:rsid w:val="00D826DE"/>
    <w:rsid w:val="00D82BE5"/>
    <w:rsid w:val="00D8496A"/>
    <w:rsid w:val="00D94179"/>
    <w:rsid w:val="00D966D3"/>
    <w:rsid w:val="00DA2720"/>
    <w:rsid w:val="00DA287F"/>
    <w:rsid w:val="00DB259B"/>
    <w:rsid w:val="00DC0D74"/>
    <w:rsid w:val="00DC3C7D"/>
    <w:rsid w:val="00DC5817"/>
    <w:rsid w:val="00DE3E63"/>
    <w:rsid w:val="00DE7D9E"/>
    <w:rsid w:val="00DF2F84"/>
    <w:rsid w:val="00DF48C2"/>
    <w:rsid w:val="00DF64B5"/>
    <w:rsid w:val="00E017F4"/>
    <w:rsid w:val="00E12911"/>
    <w:rsid w:val="00E14ADF"/>
    <w:rsid w:val="00E16108"/>
    <w:rsid w:val="00E2019B"/>
    <w:rsid w:val="00E2075A"/>
    <w:rsid w:val="00E21053"/>
    <w:rsid w:val="00E22991"/>
    <w:rsid w:val="00E2612A"/>
    <w:rsid w:val="00E356D4"/>
    <w:rsid w:val="00E35FFA"/>
    <w:rsid w:val="00E407C8"/>
    <w:rsid w:val="00E4109B"/>
    <w:rsid w:val="00E458DB"/>
    <w:rsid w:val="00E51C25"/>
    <w:rsid w:val="00E56C6C"/>
    <w:rsid w:val="00E645C3"/>
    <w:rsid w:val="00E66222"/>
    <w:rsid w:val="00E76604"/>
    <w:rsid w:val="00E77F68"/>
    <w:rsid w:val="00E83C85"/>
    <w:rsid w:val="00E858B4"/>
    <w:rsid w:val="00E91444"/>
    <w:rsid w:val="00EA0C6B"/>
    <w:rsid w:val="00EB2A12"/>
    <w:rsid w:val="00EC3566"/>
    <w:rsid w:val="00EC61E2"/>
    <w:rsid w:val="00ED0216"/>
    <w:rsid w:val="00ED2EA6"/>
    <w:rsid w:val="00ED3E9A"/>
    <w:rsid w:val="00EE1E73"/>
    <w:rsid w:val="00EE71F1"/>
    <w:rsid w:val="00EF09CC"/>
    <w:rsid w:val="00EF2655"/>
    <w:rsid w:val="00EF44CA"/>
    <w:rsid w:val="00EF476C"/>
    <w:rsid w:val="00F05C63"/>
    <w:rsid w:val="00F1113E"/>
    <w:rsid w:val="00F15CDB"/>
    <w:rsid w:val="00F16742"/>
    <w:rsid w:val="00F20164"/>
    <w:rsid w:val="00F21B5F"/>
    <w:rsid w:val="00F259DA"/>
    <w:rsid w:val="00F2734E"/>
    <w:rsid w:val="00F30268"/>
    <w:rsid w:val="00F339AE"/>
    <w:rsid w:val="00F3504D"/>
    <w:rsid w:val="00F376D0"/>
    <w:rsid w:val="00F45CC3"/>
    <w:rsid w:val="00F623D7"/>
    <w:rsid w:val="00F644CF"/>
    <w:rsid w:val="00F664AA"/>
    <w:rsid w:val="00F67D1E"/>
    <w:rsid w:val="00F7246C"/>
    <w:rsid w:val="00F72560"/>
    <w:rsid w:val="00F73181"/>
    <w:rsid w:val="00F8017F"/>
    <w:rsid w:val="00F81BE3"/>
    <w:rsid w:val="00F83BE5"/>
    <w:rsid w:val="00F90C6E"/>
    <w:rsid w:val="00F90DCD"/>
    <w:rsid w:val="00FA16CF"/>
    <w:rsid w:val="00FA1EBC"/>
    <w:rsid w:val="00FB4ED0"/>
    <w:rsid w:val="00FB693F"/>
    <w:rsid w:val="00FD3B98"/>
    <w:rsid w:val="00FD410E"/>
    <w:rsid w:val="00FD7E23"/>
    <w:rsid w:val="00FE21A5"/>
    <w:rsid w:val="00FE5046"/>
    <w:rsid w:val="00FE5E79"/>
    <w:rsid w:val="00FF1C8D"/>
    <w:rsid w:val="01D96867"/>
    <w:rsid w:val="025005BE"/>
    <w:rsid w:val="02A06B41"/>
    <w:rsid w:val="037538C8"/>
    <w:rsid w:val="05FB8121"/>
    <w:rsid w:val="091530D8"/>
    <w:rsid w:val="0BA8371E"/>
    <w:rsid w:val="11A2E971"/>
    <w:rsid w:val="1448015B"/>
    <w:rsid w:val="17AD6ED1"/>
    <w:rsid w:val="1939684B"/>
    <w:rsid w:val="1C4D4BF4"/>
    <w:rsid w:val="1D380BE7"/>
    <w:rsid w:val="1DB10C2E"/>
    <w:rsid w:val="1E0CD96E"/>
    <w:rsid w:val="26916579"/>
    <w:rsid w:val="29BB5723"/>
    <w:rsid w:val="2A07938B"/>
    <w:rsid w:val="2C967E54"/>
    <w:rsid w:val="2F527586"/>
    <w:rsid w:val="2F67B782"/>
    <w:rsid w:val="2F9E4455"/>
    <w:rsid w:val="2FBE079C"/>
    <w:rsid w:val="349A2C42"/>
    <w:rsid w:val="35870CB2"/>
    <w:rsid w:val="36BFC599"/>
    <w:rsid w:val="3A637E98"/>
    <w:rsid w:val="3D62CEB2"/>
    <w:rsid w:val="3DF9C125"/>
    <w:rsid w:val="3F3EFECB"/>
    <w:rsid w:val="41EEA31B"/>
    <w:rsid w:val="490F191B"/>
    <w:rsid w:val="4A75AAE0"/>
    <w:rsid w:val="4B6CCCE2"/>
    <w:rsid w:val="4D14BFBD"/>
    <w:rsid w:val="4E5B78B4"/>
    <w:rsid w:val="4EE6C615"/>
    <w:rsid w:val="4FF918FF"/>
    <w:rsid w:val="50B48100"/>
    <w:rsid w:val="50F321CB"/>
    <w:rsid w:val="519C5E29"/>
    <w:rsid w:val="57EAB94A"/>
    <w:rsid w:val="588EF216"/>
    <w:rsid w:val="5A5D96AE"/>
    <w:rsid w:val="5B6365D2"/>
    <w:rsid w:val="5D378950"/>
    <w:rsid w:val="6212E8A4"/>
    <w:rsid w:val="695BBAE1"/>
    <w:rsid w:val="6BADAA5B"/>
    <w:rsid w:val="6D0FB33A"/>
    <w:rsid w:val="714C6763"/>
    <w:rsid w:val="76C72D37"/>
    <w:rsid w:val="79CC68DB"/>
    <w:rsid w:val="7B69CCF2"/>
    <w:rsid w:val="7CB97BC1"/>
    <w:rsid w:val="7D443F8B"/>
    <w:rsid w:val="7DC137F5"/>
    <w:rsid w:val="7EA1C7A4"/>
    <w:rsid w:val="7F05DA81"/>
    <w:rsid w:val="7F9E9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CA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04"/>
    <w:pPr>
      <w:spacing w:after="0" w:line="240" w:lineRule="auto"/>
    </w:pPr>
    <w:rPr>
      <w:rFonts w:ascii="Calibri" w:hAnsi="Calibri" w:cs="Calibri"/>
    </w:rPr>
  </w:style>
  <w:style w:type="paragraph" w:styleId="Heading1">
    <w:name w:val="heading 1"/>
    <w:basedOn w:val="Normal"/>
    <w:next w:val="Normal"/>
    <w:link w:val="Heading1Char"/>
    <w:uiPriority w:val="9"/>
    <w:qFormat/>
    <w:rsid w:val="00807F6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9A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4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604"/>
    <w:pPr>
      <w:ind w:left="720"/>
      <w:contextualSpacing/>
    </w:pPr>
  </w:style>
  <w:style w:type="character" w:styleId="Hyperlink">
    <w:name w:val="Hyperlink"/>
    <w:basedOn w:val="DefaultParagraphFont"/>
    <w:uiPriority w:val="99"/>
    <w:unhideWhenUsed/>
    <w:rsid w:val="00F73181"/>
    <w:rPr>
      <w:color w:val="0563C1" w:themeColor="hyperlink"/>
      <w:u w:val="single"/>
    </w:rPr>
  </w:style>
  <w:style w:type="character" w:customStyle="1" w:styleId="UnresolvedMention1">
    <w:name w:val="Unresolved Mention1"/>
    <w:basedOn w:val="DefaultParagraphFont"/>
    <w:uiPriority w:val="99"/>
    <w:semiHidden/>
    <w:unhideWhenUsed/>
    <w:rsid w:val="00F73181"/>
    <w:rPr>
      <w:color w:val="605E5C"/>
      <w:shd w:val="clear" w:color="auto" w:fill="E1DFDD"/>
    </w:rPr>
  </w:style>
  <w:style w:type="character" w:styleId="CommentReference">
    <w:name w:val="annotation reference"/>
    <w:basedOn w:val="DefaultParagraphFont"/>
    <w:uiPriority w:val="99"/>
    <w:semiHidden/>
    <w:unhideWhenUsed/>
    <w:rsid w:val="000174CE"/>
    <w:rPr>
      <w:sz w:val="16"/>
      <w:szCs w:val="16"/>
    </w:rPr>
  </w:style>
  <w:style w:type="paragraph" w:styleId="CommentText">
    <w:name w:val="annotation text"/>
    <w:basedOn w:val="Normal"/>
    <w:link w:val="CommentTextChar"/>
    <w:uiPriority w:val="99"/>
    <w:unhideWhenUsed/>
    <w:rsid w:val="000174CE"/>
    <w:rPr>
      <w:sz w:val="20"/>
      <w:szCs w:val="20"/>
    </w:rPr>
  </w:style>
  <w:style w:type="character" w:customStyle="1" w:styleId="CommentTextChar">
    <w:name w:val="Comment Text Char"/>
    <w:basedOn w:val="DefaultParagraphFont"/>
    <w:link w:val="CommentText"/>
    <w:uiPriority w:val="99"/>
    <w:rsid w:val="000174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74CE"/>
    <w:rPr>
      <w:b/>
      <w:bCs/>
    </w:rPr>
  </w:style>
  <w:style w:type="character" w:customStyle="1" w:styleId="CommentSubjectChar">
    <w:name w:val="Comment Subject Char"/>
    <w:basedOn w:val="CommentTextChar"/>
    <w:link w:val="CommentSubject"/>
    <w:uiPriority w:val="99"/>
    <w:semiHidden/>
    <w:rsid w:val="000174CE"/>
    <w:rPr>
      <w:rFonts w:ascii="Calibri" w:hAnsi="Calibri" w:cs="Calibri"/>
      <w:b/>
      <w:bCs/>
      <w:sz w:val="20"/>
      <w:szCs w:val="20"/>
    </w:rPr>
  </w:style>
  <w:style w:type="paragraph" w:styleId="BalloonText">
    <w:name w:val="Balloon Text"/>
    <w:basedOn w:val="Normal"/>
    <w:link w:val="BalloonTextChar"/>
    <w:uiPriority w:val="99"/>
    <w:semiHidden/>
    <w:unhideWhenUsed/>
    <w:rsid w:val="0001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4CE"/>
    <w:rPr>
      <w:rFonts w:ascii="Segoe UI" w:hAnsi="Segoe UI" w:cs="Segoe UI"/>
      <w:sz w:val="18"/>
      <w:szCs w:val="18"/>
    </w:rPr>
  </w:style>
  <w:style w:type="character" w:customStyle="1" w:styleId="UnresolvedMention2">
    <w:name w:val="Unresolved Mention2"/>
    <w:basedOn w:val="DefaultParagraphFont"/>
    <w:uiPriority w:val="99"/>
    <w:semiHidden/>
    <w:unhideWhenUsed/>
    <w:rsid w:val="008C4537"/>
    <w:rPr>
      <w:color w:val="605E5C"/>
      <w:shd w:val="clear" w:color="auto" w:fill="E1DFDD"/>
    </w:rPr>
  </w:style>
  <w:style w:type="character" w:styleId="FollowedHyperlink">
    <w:name w:val="FollowedHyperlink"/>
    <w:basedOn w:val="DefaultParagraphFont"/>
    <w:uiPriority w:val="99"/>
    <w:semiHidden/>
    <w:unhideWhenUsed/>
    <w:rsid w:val="00C1238C"/>
    <w:rPr>
      <w:color w:val="954F72" w:themeColor="followedHyperlink"/>
      <w:u w:val="single"/>
    </w:rPr>
  </w:style>
  <w:style w:type="paragraph" w:styleId="Revision">
    <w:name w:val="Revision"/>
    <w:hidden/>
    <w:uiPriority w:val="99"/>
    <w:semiHidden/>
    <w:rsid w:val="00F15CD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807F6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47BD"/>
    <w:pPr>
      <w:tabs>
        <w:tab w:val="center" w:pos="4680"/>
        <w:tab w:val="right" w:pos="9360"/>
      </w:tabs>
    </w:pPr>
  </w:style>
  <w:style w:type="character" w:customStyle="1" w:styleId="HeaderChar">
    <w:name w:val="Header Char"/>
    <w:basedOn w:val="DefaultParagraphFont"/>
    <w:link w:val="Header"/>
    <w:uiPriority w:val="99"/>
    <w:rsid w:val="006A47BD"/>
    <w:rPr>
      <w:rFonts w:ascii="Calibri" w:hAnsi="Calibri" w:cs="Calibri"/>
    </w:rPr>
  </w:style>
  <w:style w:type="paragraph" w:styleId="Footer">
    <w:name w:val="footer"/>
    <w:basedOn w:val="Normal"/>
    <w:link w:val="FooterChar"/>
    <w:uiPriority w:val="99"/>
    <w:unhideWhenUsed/>
    <w:rsid w:val="006A47BD"/>
    <w:pPr>
      <w:tabs>
        <w:tab w:val="center" w:pos="4680"/>
        <w:tab w:val="right" w:pos="9360"/>
      </w:tabs>
    </w:pPr>
  </w:style>
  <w:style w:type="character" w:customStyle="1" w:styleId="FooterChar">
    <w:name w:val="Footer Char"/>
    <w:basedOn w:val="DefaultParagraphFont"/>
    <w:link w:val="Footer"/>
    <w:uiPriority w:val="99"/>
    <w:rsid w:val="006A47BD"/>
    <w:rPr>
      <w:rFonts w:ascii="Calibri" w:hAnsi="Calibri" w:cs="Calibri"/>
    </w:rPr>
  </w:style>
  <w:style w:type="character" w:styleId="Emphasis">
    <w:name w:val="Emphasis"/>
    <w:basedOn w:val="DefaultParagraphFont"/>
    <w:uiPriority w:val="20"/>
    <w:qFormat/>
    <w:rsid w:val="00A51338"/>
    <w:rPr>
      <w:i/>
      <w:iCs/>
    </w:rPr>
  </w:style>
  <w:style w:type="character" w:customStyle="1" w:styleId="UnresolvedMention3">
    <w:name w:val="Unresolved Mention3"/>
    <w:basedOn w:val="DefaultParagraphFont"/>
    <w:uiPriority w:val="99"/>
    <w:semiHidden/>
    <w:unhideWhenUsed/>
    <w:rsid w:val="00F623D7"/>
    <w:rPr>
      <w:color w:val="605E5C"/>
      <w:shd w:val="clear" w:color="auto" w:fill="E1DFDD"/>
    </w:rPr>
  </w:style>
  <w:style w:type="character" w:customStyle="1" w:styleId="UnresolvedMention4">
    <w:name w:val="Unresolved Mention4"/>
    <w:basedOn w:val="DefaultParagraphFont"/>
    <w:uiPriority w:val="99"/>
    <w:semiHidden/>
    <w:unhideWhenUsed/>
    <w:rsid w:val="00CD7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34825">
      <w:bodyDiv w:val="1"/>
      <w:marLeft w:val="0"/>
      <w:marRight w:val="0"/>
      <w:marTop w:val="0"/>
      <w:marBottom w:val="0"/>
      <w:divBdr>
        <w:top w:val="none" w:sz="0" w:space="0" w:color="auto"/>
        <w:left w:val="none" w:sz="0" w:space="0" w:color="auto"/>
        <w:bottom w:val="none" w:sz="0" w:space="0" w:color="auto"/>
        <w:right w:val="none" w:sz="0" w:space="0" w:color="auto"/>
      </w:divBdr>
    </w:div>
    <w:div w:id="891770086">
      <w:bodyDiv w:val="1"/>
      <w:marLeft w:val="0"/>
      <w:marRight w:val="0"/>
      <w:marTop w:val="0"/>
      <w:marBottom w:val="0"/>
      <w:divBdr>
        <w:top w:val="none" w:sz="0" w:space="0" w:color="auto"/>
        <w:left w:val="none" w:sz="0" w:space="0" w:color="auto"/>
        <w:bottom w:val="none" w:sz="0" w:space="0" w:color="auto"/>
        <w:right w:val="none" w:sz="0" w:space="0" w:color="auto"/>
      </w:divBdr>
    </w:div>
    <w:div w:id="1162428789">
      <w:bodyDiv w:val="1"/>
      <w:marLeft w:val="0"/>
      <w:marRight w:val="0"/>
      <w:marTop w:val="0"/>
      <w:marBottom w:val="0"/>
      <w:divBdr>
        <w:top w:val="none" w:sz="0" w:space="0" w:color="auto"/>
        <w:left w:val="none" w:sz="0" w:space="0" w:color="auto"/>
        <w:bottom w:val="none" w:sz="0" w:space="0" w:color="auto"/>
        <w:right w:val="none" w:sz="0" w:space="0" w:color="auto"/>
      </w:divBdr>
    </w:div>
    <w:div w:id="188424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olution.nhs.uk/wp-content/uploads/2020/02/2020-Strategy-Update-Report.pdf" TargetMode="External"/><Relationship Id="rId17" Type="http://schemas.openxmlformats.org/officeDocument/2006/relationships/hyperlink" Target="https://resolution.nhs.uk/services/claims-management/non-clinical-schemes/" TargetMode="External"/><Relationship Id="rId2" Type="http://schemas.openxmlformats.org/officeDocument/2006/relationships/customXml" Target="../customXml/item2.xml"/><Relationship Id="rId16" Type="http://schemas.openxmlformats.org/officeDocument/2006/relationships/hyperlink" Target="https://resolution.nhs.uk/services/claims-management/clinical-sche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c.org.uk/about-us/our-strategy-plans/new-strategy-changing-world-health-social-care-cqcs-strategy-2021"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849CB.70F98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6ffd4a5afb77857819e65ab37e61efb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c70bc9d69149d1416b5bb9c197b6db0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9120-E423-459A-81DC-279AB5728141}">
  <ds:schemaRefs>
    <ds:schemaRef ds:uri="http://schemas.microsoft.com/sharepoint/v3/contenttype/forms"/>
  </ds:schemaRefs>
</ds:datastoreItem>
</file>

<file path=customXml/itemProps2.xml><?xml version="1.0" encoding="utf-8"?>
<ds:datastoreItem xmlns:ds="http://schemas.openxmlformats.org/officeDocument/2006/customXml" ds:itemID="{D15F3E6D-8497-47CC-B0A7-1357F4D7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638B9-9FDD-45D9-BE13-96B690A1A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3D2E32-5EF8-436A-80AB-2D393882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2022-05-11T14:56:00Z</dcterms:created>
  <dcterms:modified xsi:type="dcterms:W3CDTF">2022-05-11T14:57:00Z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