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3C" w:rsidRDefault="0065154F" w:rsidP="005F5A78">
      <w:pPr>
        <w:pStyle w:val="Title"/>
        <w:rPr>
          <w:rFonts w:ascii="Century Gothic" w:hAnsi="Century Gothic" w:cs="Arial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2288540</wp:posOffset>
            </wp:positionH>
            <wp:positionV relativeFrom="margin">
              <wp:posOffset>-383540</wp:posOffset>
            </wp:positionV>
            <wp:extent cx="4429125" cy="480060"/>
            <wp:effectExtent l="0" t="0" r="9525" b="0"/>
            <wp:wrapTopAndBottom/>
            <wp:docPr id="1" name="Picture 3" descr="University Hospital Southampton foundation trust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y Hospital Southampton foundation trustBL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1415" w:rsidRPr="005F5A78" w:rsidRDefault="00101415" w:rsidP="005F5A78">
      <w:pPr>
        <w:pStyle w:val="Title"/>
        <w:rPr>
          <w:rFonts w:ascii="Century Gothic" w:hAnsi="Century Gothic" w:cs="Arial"/>
        </w:rPr>
      </w:pPr>
      <w:r w:rsidRPr="005F5A78">
        <w:rPr>
          <w:rFonts w:ascii="Century Gothic" w:hAnsi="Century Gothic" w:cs="Arial"/>
        </w:rPr>
        <w:t>Corporate Health and Safety Report from Specialist groups</w:t>
      </w:r>
    </w:p>
    <w:p w:rsidR="00101415" w:rsidRDefault="00101415" w:rsidP="003B51BE">
      <w:pPr>
        <w:jc w:val="center"/>
        <w:rPr>
          <w:rFonts w:ascii="Century Gothic" w:hAnsi="Century Gothic" w:cs="Arial"/>
          <w:b/>
        </w:rPr>
      </w:pPr>
    </w:p>
    <w:p w:rsidR="00101415" w:rsidRPr="000C48DC" w:rsidRDefault="00101415" w:rsidP="003B51BE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0C48DC">
        <w:rPr>
          <w:rFonts w:ascii="Century Gothic" w:hAnsi="Century Gothic" w:cs="Arial"/>
          <w:b/>
          <w:sz w:val="28"/>
          <w:szCs w:val="28"/>
        </w:rPr>
        <w:t xml:space="preserve">Litigation &amp; Insurance Services </w:t>
      </w:r>
    </w:p>
    <w:p w:rsidR="00101415" w:rsidRPr="000C48DC" w:rsidRDefault="00101415" w:rsidP="003B51BE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0C48DC">
        <w:rPr>
          <w:rFonts w:ascii="Century Gothic" w:hAnsi="Century Gothic" w:cs="Arial"/>
          <w:b/>
          <w:sz w:val="28"/>
          <w:szCs w:val="28"/>
        </w:rPr>
        <w:t xml:space="preserve">Annual Patient </w:t>
      </w:r>
      <w:r w:rsidR="004C3C2F" w:rsidRPr="000C48DC">
        <w:rPr>
          <w:rFonts w:ascii="Century Gothic" w:hAnsi="Century Gothic" w:cs="Arial"/>
          <w:b/>
          <w:sz w:val="28"/>
          <w:szCs w:val="28"/>
        </w:rPr>
        <w:t xml:space="preserve">/ Visitor </w:t>
      </w:r>
      <w:r w:rsidRPr="000C48DC">
        <w:rPr>
          <w:rFonts w:ascii="Century Gothic" w:hAnsi="Century Gothic" w:cs="Arial"/>
          <w:b/>
          <w:sz w:val="28"/>
          <w:szCs w:val="28"/>
        </w:rPr>
        <w:t xml:space="preserve">and Staff Safety </w:t>
      </w:r>
      <w:r w:rsidR="00D9541F" w:rsidRPr="000C48DC">
        <w:rPr>
          <w:rFonts w:ascii="Century Gothic" w:hAnsi="Century Gothic" w:cs="Arial"/>
          <w:b/>
          <w:sz w:val="28"/>
          <w:szCs w:val="28"/>
        </w:rPr>
        <w:t>“</w:t>
      </w:r>
      <w:r w:rsidR="00D9541F" w:rsidRPr="000C48DC">
        <w:rPr>
          <w:rFonts w:ascii="Century Gothic" w:hAnsi="Century Gothic" w:cs="Arial"/>
          <w:b/>
          <w:sz w:val="32"/>
          <w:szCs w:val="32"/>
        </w:rPr>
        <w:t>Focus</w:t>
      </w:r>
      <w:r w:rsidR="00D9541F" w:rsidRPr="000C48DC">
        <w:rPr>
          <w:rFonts w:ascii="Century Gothic" w:hAnsi="Century Gothic" w:cs="Arial"/>
          <w:b/>
          <w:sz w:val="28"/>
          <w:szCs w:val="28"/>
        </w:rPr>
        <w:t xml:space="preserve">” </w:t>
      </w:r>
      <w:r w:rsidRPr="000C48DC">
        <w:rPr>
          <w:rFonts w:ascii="Century Gothic" w:hAnsi="Century Gothic" w:cs="Arial"/>
          <w:b/>
          <w:sz w:val="28"/>
          <w:szCs w:val="28"/>
        </w:rPr>
        <w:t>report on claims</w:t>
      </w:r>
    </w:p>
    <w:p w:rsidR="00101415" w:rsidRDefault="00101415" w:rsidP="005F5A78">
      <w:pPr>
        <w:rPr>
          <w:rFonts w:ascii="Century Gothic" w:hAnsi="Century Gothic" w:cs="Arial"/>
          <w:b/>
        </w:rPr>
      </w:pPr>
    </w:p>
    <w:p w:rsidR="00101415" w:rsidRDefault="00101415" w:rsidP="005F5A78">
      <w:pPr>
        <w:rPr>
          <w:rFonts w:ascii="Century Gothic" w:hAnsi="Century Gothic" w:cs="Arial"/>
          <w:b/>
        </w:rPr>
      </w:pPr>
    </w:p>
    <w:p w:rsidR="00101415" w:rsidRDefault="00101415" w:rsidP="005F5A78">
      <w:pPr>
        <w:rPr>
          <w:rFonts w:ascii="Century Gothic" w:hAnsi="Century Gothic" w:cs="Arial"/>
          <w:b/>
        </w:rPr>
      </w:pPr>
    </w:p>
    <w:p w:rsidR="00B250B3" w:rsidRDefault="00101415" w:rsidP="005F5A78">
      <w:pPr>
        <w:rPr>
          <w:rFonts w:ascii="Century Gothic" w:hAnsi="Century Gothic" w:cs="Arial"/>
          <w:b/>
        </w:rPr>
      </w:pPr>
      <w:r w:rsidRPr="00D21919">
        <w:rPr>
          <w:rFonts w:ascii="Century Gothic" w:hAnsi="Century Gothic" w:cs="Arial"/>
          <w:b/>
          <w:sz w:val="22"/>
          <w:szCs w:val="22"/>
        </w:rPr>
        <w:t>Report to: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</w:r>
    </w:p>
    <w:p w:rsidR="00101415" w:rsidRPr="00D21919" w:rsidRDefault="00101415" w:rsidP="005F5A78">
      <w:pPr>
        <w:rPr>
          <w:rFonts w:ascii="Century Gothic" w:hAnsi="Century Gothic" w:cs="Arial"/>
          <w:sz w:val="22"/>
          <w:szCs w:val="22"/>
        </w:rPr>
      </w:pPr>
      <w:r w:rsidRPr="00D21919">
        <w:rPr>
          <w:rFonts w:ascii="Century Gothic" w:hAnsi="Century Gothic" w:cs="Arial"/>
          <w:b/>
          <w:sz w:val="22"/>
          <w:szCs w:val="22"/>
        </w:rPr>
        <w:t>Report from:</w:t>
      </w:r>
      <w:r w:rsidRPr="00D21919">
        <w:rPr>
          <w:rFonts w:ascii="Century Gothic" w:hAnsi="Century Gothic" w:cs="Arial"/>
          <w:b/>
          <w:sz w:val="22"/>
          <w:szCs w:val="22"/>
        </w:rPr>
        <w:tab/>
      </w:r>
      <w:r w:rsidRPr="00D21919">
        <w:rPr>
          <w:rFonts w:ascii="Century Gothic" w:hAnsi="Century Gothic" w:cs="Arial"/>
          <w:b/>
          <w:sz w:val="22"/>
          <w:szCs w:val="22"/>
        </w:rPr>
        <w:tab/>
      </w:r>
      <w:r w:rsidRPr="00D21919">
        <w:rPr>
          <w:rFonts w:ascii="Century Gothic" w:hAnsi="Century Gothic" w:cs="Arial"/>
          <w:b/>
          <w:sz w:val="22"/>
          <w:szCs w:val="22"/>
        </w:rPr>
        <w:tab/>
      </w:r>
      <w:r w:rsidRPr="00D21919">
        <w:rPr>
          <w:rFonts w:ascii="Century Gothic" w:hAnsi="Century Gothic" w:cs="Arial"/>
          <w:b/>
          <w:sz w:val="22"/>
          <w:szCs w:val="22"/>
        </w:rPr>
        <w:tab/>
      </w:r>
    </w:p>
    <w:p w:rsidR="00101415" w:rsidRPr="00D21919" w:rsidRDefault="00101415" w:rsidP="005F5A78">
      <w:pPr>
        <w:rPr>
          <w:rFonts w:ascii="Century Gothic" w:hAnsi="Century Gothic" w:cs="Arial"/>
          <w:b/>
          <w:sz w:val="22"/>
          <w:szCs w:val="22"/>
        </w:rPr>
      </w:pPr>
    </w:p>
    <w:p w:rsidR="00101415" w:rsidRPr="00D21919" w:rsidRDefault="00101415" w:rsidP="005F5A78">
      <w:pPr>
        <w:rPr>
          <w:rFonts w:ascii="Century Gothic" w:hAnsi="Century Gothic" w:cs="Arial"/>
          <w:b/>
          <w:sz w:val="22"/>
          <w:szCs w:val="22"/>
        </w:rPr>
      </w:pPr>
      <w:r w:rsidRPr="00D21919">
        <w:rPr>
          <w:rFonts w:ascii="Century Gothic" w:hAnsi="Century Gothic" w:cs="Arial"/>
          <w:b/>
          <w:sz w:val="22"/>
          <w:szCs w:val="22"/>
        </w:rPr>
        <w:t>Sponsoring Executive:</w:t>
      </w:r>
      <w:r w:rsidRPr="00D21919">
        <w:rPr>
          <w:rFonts w:ascii="Century Gothic" w:hAnsi="Century Gothic" w:cs="Arial"/>
          <w:b/>
          <w:sz w:val="22"/>
          <w:szCs w:val="22"/>
        </w:rPr>
        <w:tab/>
      </w:r>
      <w:r w:rsidRPr="00D21919">
        <w:rPr>
          <w:rFonts w:ascii="Century Gothic" w:hAnsi="Century Gothic" w:cs="Arial"/>
          <w:b/>
          <w:sz w:val="22"/>
          <w:szCs w:val="22"/>
        </w:rPr>
        <w:tab/>
      </w:r>
    </w:p>
    <w:p w:rsidR="00101415" w:rsidRPr="00D21919" w:rsidRDefault="00101415" w:rsidP="00FF17DE">
      <w:pPr>
        <w:ind w:left="3600" w:hanging="3600"/>
        <w:rPr>
          <w:rFonts w:ascii="Century Gothic" w:hAnsi="Century Gothic" w:cs="Arial"/>
          <w:sz w:val="22"/>
          <w:szCs w:val="22"/>
        </w:rPr>
      </w:pPr>
      <w:r w:rsidRPr="00D21919">
        <w:rPr>
          <w:rFonts w:ascii="Century Gothic" w:hAnsi="Century Gothic" w:cs="Arial"/>
          <w:b/>
          <w:sz w:val="22"/>
          <w:szCs w:val="22"/>
        </w:rPr>
        <w:t>Aim of report:</w:t>
      </w:r>
      <w:r w:rsidRPr="00D21919">
        <w:rPr>
          <w:rFonts w:ascii="Century Gothic" w:hAnsi="Century Gothic" w:cs="Arial"/>
          <w:b/>
          <w:sz w:val="22"/>
          <w:szCs w:val="22"/>
        </w:rPr>
        <w:tab/>
      </w:r>
      <w:r w:rsidRPr="00D21919">
        <w:rPr>
          <w:rFonts w:ascii="Century Gothic" w:hAnsi="Century Gothic" w:cs="Arial"/>
          <w:sz w:val="22"/>
          <w:szCs w:val="22"/>
        </w:rPr>
        <w:t>To provide members of the Corporate H&amp;S Committee an update regarding patient/</w:t>
      </w:r>
      <w:r w:rsidR="0065154F">
        <w:rPr>
          <w:rFonts w:ascii="Century Gothic" w:hAnsi="Century Gothic" w:cs="Arial"/>
          <w:sz w:val="22"/>
          <w:szCs w:val="22"/>
        </w:rPr>
        <w:t>visitor/</w:t>
      </w:r>
      <w:r w:rsidRPr="00D21919">
        <w:rPr>
          <w:rFonts w:ascii="Century Gothic" w:hAnsi="Century Gothic" w:cs="Arial"/>
          <w:sz w:val="22"/>
          <w:szCs w:val="22"/>
        </w:rPr>
        <w:t xml:space="preserve">staff </w:t>
      </w:r>
    </w:p>
    <w:p w:rsidR="00101415" w:rsidRPr="00D21919" w:rsidRDefault="00101415" w:rsidP="005F5A78">
      <w:pPr>
        <w:rPr>
          <w:rFonts w:ascii="Century Gothic" w:hAnsi="Century Gothic" w:cs="Arial"/>
          <w:sz w:val="22"/>
          <w:szCs w:val="22"/>
        </w:rPr>
      </w:pPr>
      <w:r w:rsidRPr="00D21919">
        <w:rPr>
          <w:rFonts w:ascii="Century Gothic" w:hAnsi="Century Gothic" w:cs="Arial"/>
          <w:sz w:val="22"/>
          <w:szCs w:val="22"/>
        </w:rPr>
        <w:tab/>
      </w:r>
      <w:r w:rsidRPr="00D21919">
        <w:rPr>
          <w:rFonts w:ascii="Century Gothic" w:hAnsi="Century Gothic" w:cs="Arial"/>
          <w:sz w:val="22"/>
          <w:szCs w:val="22"/>
        </w:rPr>
        <w:tab/>
      </w:r>
      <w:r w:rsidRPr="00D21919">
        <w:rPr>
          <w:rFonts w:ascii="Century Gothic" w:hAnsi="Century Gothic" w:cs="Arial"/>
          <w:sz w:val="22"/>
          <w:szCs w:val="22"/>
        </w:rPr>
        <w:tab/>
      </w:r>
      <w:r w:rsidRPr="00D21919">
        <w:rPr>
          <w:rFonts w:ascii="Century Gothic" w:hAnsi="Century Gothic" w:cs="Arial"/>
          <w:sz w:val="22"/>
          <w:szCs w:val="22"/>
        </w:rPr>
        <w:tab/>
      </w:r>
      <w:r w:rsidRPr="00D21919">
        <w:rPr>
          <w:rFonts w:ascii="Century Gothic" w:hAnsi="Century Gothic" w:cs="Arial"/>
          <w:sz w:val="22"/>
          <w:szCs w:val="22"/>
        </w:rPr>
        <w:tab/>
        <w:t xml:space="preserve">claims and themes. </w:t>
      </w:r>
    </w:p>
    <w:p w:rsidR="00101415" w:rsidRPr="00D21919" w:rsidRDefault="00101415" w:rsidP="005F5A78">
      <w:pPr>
        <w:rPr>
          <w:rFonts w:ascii="Century Gothic" w:hAnsi="Century Gothic" w:cs="Arial"/>
          <w:sz w:val="22"/>
          <w:szCs w:val="22"/>
        </w:rPr>
      </w:pPr>
    </w:p>
    <w:p w:rsidR="00101415" w:rsidRPr="00D21919" w:rsidRDefault="00101415" w:rsidP="00FF17DE">
      <w:pPr>
        <w:ind w:left="3600"/>
        <w:rPr>
          <w:rFonts w:ascii="Century Gothic" w:hAnsi="Century Gothic" w:cs="Arial"/>
          <w:sz w:val="22"/>
          <w:szCs w:val="22"/>
        </w:rPr>
      </w:pPr>
      <w:r w:rsidRPr="00D21919">
        <w:rPr>
          <w:rFonts w:ascii="Century Gothic" w:hAnsi="Century Gothic" w:cs="Arial"/>
          <w:sz w:val="22"/>
          <w:szCs w:val="22"/>
        </w:rPr>
        <w:t xml:space="preserve">To highlight any areas for </w:t>
      </w:r>
      <w:r w:rsidR="00D9541F">
        <w:rPr>
          <w:rFonts w:ascii="Century Gothic" w:hAnsi="Century Gothic" w:cs="Arial"/>
          <w:sz w:val="22"/>
          <w:szCs w:val="22"/>
        </w:rPr>
        <w:t xml:space="preserve">“focus and </w:t>
      </w:r>
      <w:r w:rsidRPr="00D21919">
        <w:rPr>
          <w:rFonts w:ascii="Century Gothic" w:hAnsi="Century Gothic" w:cs="Arial"/>
          <w:sz w:val="22"/>
          <w:szCs w:val="22"/>
        </w:rPr>
        <w:t>improvement</w:t>
      </w:r>
      <w:r w:rsidR="00D9541F">
        <w:rPr>
          <w:rFonts w:ascii="Century Gothic" w:hAnsi="Century Gothic" w:cs="Arial"/>
          <w:sz w:val="22"/>
          <w:szCs w:val="22"/>
        </w:rPr>
        <w:t>”</w:t>
      </w:r>
      <w:r w:rsidRPr="00D21919">
        <w:rPr>
          <w:rFonts w:ascii="Century Gothic" w:hAnsi="Century Gothic" w:cs="Arial"/>
          <w:sz w:val="22"/>
          <w:szCs w:val="22"/>
        </w:rPr>
        <w:t xml:space="preserve"> and identify the actions being taken to address these.</w:t>
      </w:r>
    </w:p>
    <w:p w:rsidR="00101415" w:rsidRPr="00D21919" w:rsidRDefault="00101415" w:rsidP="005F5A78">
      <w:pPr>
        <w:rPr>
          <w:rFonts w:ascii="Century Gothic" w:hAnsi="Century Gothic" w:cs="Arial"/>
          <w:b/>
          <w:sz w:val="22"/>
          <w:szCs w:val="22"/>
        </w:rPr>
      </w:pPr>
    </w:p>
    <w:p w:rsidR="00101415" w:rsidRPr="00D21919" w:rsidRDefault="00101415" w:rsidP="005F5A78">
      <w:pPr>
        <w:rPr>
          <w:rFonts w:ascii="Century Gothic" w:hAnsi="Century Gothic" w:cs="Arial"/>
          <w:b/>
          <w:sz w:val="22"/>
          <w:szCs w:val="22"/>
        </w:rPr>
      </w:pPr>
    </w:p>
    <w:p w:rsidR="00101415" w:rsidRPr="00D21919" w:rsidRDefault="00101415" w:rsidP="005F5A78">
      <w:pPr>
        <w:rPr>
          <w:rFonts w:ascii="Century Gothic" w:hAnsi="Century Gothic" w:cs="Arial"/>
          <w:b/>
          <w:sz w:val="22"/>
          <w:szCs w:val="22"/>
        </w:rPr>
      </w:pPr>
    </w:p>
    <w:p w:rsidR="00101415" w:rsidRPr="00D21919" w:rsidRDefault="00101415" w:rsidP="00FF17DE">
      <w:pPr>
        <w:ind w:left="3600" w:hanging="3600"/>
        <w:rPr>
          <w:rFonts w:ascii="Century Gothic" w:hAnsi="Century Gothic" w:cs="Arial"/>
          <w:sz w:val="22"/>
          <w:szCs w:val="22"/>
        </w:rPr>
      </w:pPr>
      <w:r w:rsidRPr="00D21919">
        <w:rPr>
          <w:rFonts w:ascii="Century Gothic" w:hAnsi="Century Gothic" w:cs="Arial"/>
          <w:b/>
          <w:sz w:val="22"/>
          <w:szCs w:val="22"/>
        </w:rPr>
        <w:t xml:space="preserve">Review history to date: </w:t>
      </w:r>
      <w:r w:rsidRPr="00D21919">
        <w:rPr>
          <w:rFonts w:ascii="Century Gothic" w:hAnsi="Century Gothic" w:cs="Arial"/>
          <w:b/>
          <w:sz w:val="22"/>
          <w:szCs w:val="22"/>
        </w:rPr>
        <w:tab/>
      </w:r>
    </w:p>
    <w:p w:rsidR="00101415" w:rsidRPr="00D21919" w:rsidRDefault="00101415" w:rsidP="005F5A78">
      <w:pPr>
        <w:rPr>
          <w:rFonts w:ascii="Century Gothic" w:hAnsi="Century Gothic" w:cs="Arial"/>
          <w:sz w:val="22"/>
          <w:szCs w:val="22"/>
        </w:rPr>
      </w:pPr>
    </w:p>
    <w:p w:rsidR="00101415" w:rsidRPr="00D21919" w:rsidRDefault="00101415" w:rsidP="00FF17DE">
      <w:pPr>
        <w:ind w:left="3600" w:hanging="3600"/>
        <w:rPr>
          <w:rFonts w:ascii="Century Gothic" w:hAnsi="Century Gothic" w:cs="Arial"/>
          <w:b/>
          <w:sz w:val="22"/>
          <w:szCs w:val="22"/>
        </w:rPr>
      </w:pPr>
      <w:r w:rsidRPr="00D21919">
        <w:rPr>
          <w:rFonts w:ascii="Century Gothic" w:hAnsi="Century Gothic" w:cs="Arial"/>
          <w:b/>
          <w:sz w:val="22"/>
          <w:szCs w:val="22"/>
        </w:rPr>
        <w:t>Assurance framework:</w:t>
      </w:r>
      <w:r w:rsidRPr="00D21919">
        <w:rPr>
          <w:rFonts w:ascii="Century Gothic" w:hAnsi="Century Gothic" w:cs="Arial"/>
          <w:b/>
          <w:sz w:val="22"/>
          <w:szCs w:val="22"/>
        </w:rPr>
        <w:tab/>
      </w:r>
      <w:r w:rsidRPr="00D21919">
        <w:rPr>
          <w:rFonts w:ascii="Century Gothic" w:hAnsi="Century Gothic" w:cs="Arial"/>
          <w:sz w:val="22"/>
          <w:szCs w:val="22"/>
        </w:rPr>
        <w:t>To provide assurances against standards set by CQC, NHSLA and Trust policies.</w:t>
      </w:r>
    </w:p>
    <w:p w:rsidR="00101415" w:rsidRPr="00D21919" w:rsidRDefault="00101415" w:rsidP="005F5A78">
      <w:pPr>
        <w:rPr>
          <w:rFonts w:ascii="Century Gothic" w:hAnsi="Century Gothic" w:cs="Arial"/>
          <w:b/>
          <w:sz w:val="22"/>
          <w:szCs w:val="22"/>
        </w:rPr>
      </w:pPr>
    </w:p>
    <w:p w:rsidR="00101415" w:rsidRDefault="00101415" w:rsidP="00FF17DE">
      <w:pPr>
        <w:ind w:left="3600" w:hanging="3600"/>
        <w:rPr>
          <w:rFonts w:ascii="Century Gothic" w:hAnsi="Century Gothic" w:cs="Arial"/>
          <w:sz w:val="22"/>
          <w:szCs w:val="22"/>
        </w:rPr>
      </w:pPr>
      <w:r w:rsidRPr="00D21919">
        <w:rPr>
          <w:rFonts w:ascii="Century Gothic" w:hAnsi="Century Gothic" w:cs="Arial"/>
          <w:b/>
          <w:sz w:val="22"/>
          <w:szCs w:val="22"/>
        </w:rPr>
        <w:t>Recommendations:</w:t>
      </w:r>
      <w:r w:rsidRPr="00D21919">
        <w:rPr>
          <w:rFonts w:ascii="Century Gothic" w:hAnsi="Century Gothic" w:cs="Arial"/>
          <w:b/>
          <w:sz w:val="22"/>
          <w:szCs w:val="22"/>
        </w:rPr>
        <w:tab/>
      </w:r>
      <w:r w:rsidRPr="00D21919">
        <w:rPr>
          <w:rFonts w:ascii="Century Gothic" w:hAnsi="Century Gothic" w:cs="Arial"/>
          <w:sz w:val="22"/>
          <w:szCs w:val="22"/>
        </w:rPr>
        <w:t>Division</w:t>
      </w:r>
      <w:r w:rsidR="00F86BD9">
        <w:rPr>
          <w:rFonts w:ascii="Century Gothic" w:hAnsi="Century Gothic" w:cs="Arial"/>
          <w:sz w:val="22"/>
          <w:szCs w:val="22"/>
        </w:rPr>
        <w:t>s</w:t>
      </w:r>
      <w:r w:rsidRPr="00D21919">
        <w:rPr>
          <w:rFonts w:ascii="Century Gothic" w:hAnsi="Century Gothic" w:cs="Arial"/>
          <w:sz w:val="22"/>
          <w:szCs w:val="22"/>
        </w:rPr>
        <w:t xml:space="preserve"> to note Trust wide learning linked to following data.</w:t>
      </w:r>
    </w:p>
    <w:p w:rsidR="00F86BD9" w:rsidRPr="00F86BD9" w:rsidRDefault="00F86BD9" w:rsidP="00FF17DE">
      <w:pPr>
        <w:ind w:left="3600" w:hanging="360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ab/>
      </w:r>
      <w:r w:rsidRPr="00F86BD9">
        <w:rPr>
          <w:rFonts w:ascii="Century Gothic" w:hAnsi="Century Gothic" w:cs="Arial"/>
          <w:sz w:val="22"/>
          <w:szCs w:val="22"/>
        </w:rPr>
        <w:t xml:space="preserve">This report will form part of the H&amp;S exception report presented to the Board. </w:t>
      </w:r>
    </w:p>
    <w:p w:rsidR="00101415" w:rsidRPr="00D21919" w:rsidRDefault="00101415" w:rsidP="005F5A78">
      <w:pPr>
        <w:rPr>
          <w:rFonts w:ascii="Century Gothic" w:hAnsi="Century Gothic" w:cs="Arial"/>
          <w:b/>
          <w:sz w:val="22"/>
          <w:szCs w:val="22"/>
        </w:rPr>
      </w:pPr>
    </w:p>
    <w:p w:rsidR="00101415" w:rsidRDefault="00101415" w:rsidP="005F5A78">
      <w:pPr>
        <w:rPr>
          <w:rFonts w:ascii="Century Gothic" w:hAnsi="Century Gothic" w:cs="Arial"/>
          <w:b/>
        </w:rPr>
      </w:pPr>
    </w:p>
    <w:p w:rsidR="00101415" w:rsidRDefault="00101415" w:rsidP="00841F29">
      <w:pPr>
        <w:jc w:val="both"/>
        <w:rPr>
          <w:rFonts w:ascii="Century Gothic" w:hAnsi="Century Gothic" w:cs="Arial"/>
          <w:b/>
          <w:bCs/>
        </w:rPr>
      </w:pPr>
    </w:p>
    <w:p w:rsidR="00530B3C" w:rsidRDefault="00530B3C" w:rsidP="00841F29">
      <w:pPr>
        <w:jc w:val="both"/>
        <w:rPr>
          <w:rFonts w:ascii="Century Gothic" w:hAnsi="Century Gothic" w:cs="Arial"/>
          <w:b/>
          <w:bCs/>
        </w:rPr>
      </w:pPr>
    </w:p>
    <w:p w:rsidR="00530B3C" w:rsidRDefault="00530B3C" w:rsidP="00841F29">
      <w:pPr>
        <w:jc w:val="both"/>
        <w:rPr>
          <w:rFonts w:ascii="Century Gothic" w:hAnsi="Century Gothic" w:cs="Arial"/>
          <w:b/>
          <w:bCs/>
        </w:rPr>
      </w:pPr>
    </w:p>
    <w:p w:rsidR="00530B3C" w:rsidRDefault="00530B3C" w:rsidP="00841F29">
      <w:pPr>
        <w:jc w:val="both"/>
        <w:rPr>
          <w:rFonts w:ascii="Century Gothic" w:hAnsi="Century Gothic" w:cs="Arial"/>
          <w:b/>
          <w:bCs/>
        </w:rPr>
      </w:pPr>
    </w:p>
    <w:p w:rsidR="00530B3C" w:rsidRDefault="00530B3C" w:rsidP="00841F29">
      <w:pPr>
        <w:jc w:val="both"/>
        <w:rPr>
          <w:rFonts w:ascii="Century Gothic" w:hAnsi="Century Gothic" w:cs="Arial"/>
          <w:b/>
          <w:bCs/>
        </w:rPr>
      </w:pPr>
    </w:p>
    <w:p w:rsidR="00530B3C" w:rsidRDefault="00530B3C" w:rsidP="00841F29">
      <w:pPr>
        <w:jc w:val="both"/>
        <w:rPr>
          <w:rFonts w:ascii="Century Gothic" w:hAnsi="Century Gothic" w:cs="Arial"/>
          <w:b/>
          <w:bCs/>
        </w:rPr>
      </w:pPr>
    </w:p>
    <w:p w:rsidR="00530B3C" w:rsidRDefault="00530B3C" w:rsidP="00841F29">
      <w:pPr>
        <w:jc w:val="both"/>
        <w:rPr>
          <w:rFonts w:ascii="Century Gothic" w:hAnsi="Century Gothic" w:cs="Arial"/>
          <w:b/>
          <w:bCs/>
        </w:rPr>
      </w:pPr>
    </w:p>
    <w:p w:rsidR="00530B3C" w:rsidRDefault="00530B3C" w:rsidP="00841F29">
      <w:pPr>
        <w:jc w:val="both"/>
        <w:rPr>
          <w:rFonts w:ascii="Century Gothic" w:hAnsi="Century Gothic" w:cs="Arial"/>
          <w:b/>
          <w:bCs/>
        </w:rPr>
      </w:pPr>
    </w:p>
    <w:p w:rsidR="00530B3C" w:rsidRDefault="00530B3C" w:rsidP="00841F29">
      <w:pPr>
        <w:jc w:val="both"/>
        <w:rPr>
          <w:rFonts w:ascii="Century Gothic" w:hAnsi="Century Gothic" w:cs="Arial"/>
          <w:b/>
          <w:bCs/>
        </w:rPr>
      </w:pPr>
    </w:p>
    <w:p w:rsidR="00530B3C" w:rsidRDefault="00530B3C" w:rsidP="00841F29">
      <w:pPr>
        <w:jc w:val="both"/>
        <w:rPr>
          <w:rFonts w:ascii="Century Gothic" w:hAnsi="Century Gothic" w:cs="Arial"/>
          <w:b/>
          <w:bCs/>
        </w:rPr>
      </w:pPr>
    </w:p>
    <w:p w:rsidR="00530B3C" w:rsidRPr="003B51BE" w:rsidRDefault="00530B3C" w:rsidP="00841F29">
      <w:pPr>
        <w:jc w:val="both"/>
        <w:rPr>
          <w:rFonts w:ascii="Century Gothic" w:hAnsi="Century Gothic" w:cs="Arial"/>
          <w:b/>
          <w:bCs/>
        </w:rPr>
      </w:pPr>
    </w:p>
    <w:p w:rsidR="00101415" w:rsidRDefault="00101415" w:rsidP="00841F29">
      <w:pPr>
        <w:jc w:val="both"/>
        <w:rPr>
          <w:rFonts w:ascii="Arial" w:hAnsi="Arial" w:cs="Arial"/>
          <w:b/>
          <w:bCs/>
        </w:rPr>
      </w:pPr>
    </w:p>
    <w:p w:rsidR="00101415" w:rsidRDefault="00101415" w:rsidP="00841F29">
      <w:pPr>
        <w:jc w:val="both"/>
        <w:rPr>
          <w:rFonts w:ascii="Arial" w:hAnsi="Arial" w:cs="Arial"/>
          <w:b/>
          <w:bCs/>
        </w:rPr>
      </w:pPr>
    </w:p>
    <w:p w:rsidR="00101415" w:rsidRDefault="00101415" w:rsidP="00841F29">
      <w:pPr>
        <w:jc w:val="both"/>
        <w:rPr>
          <w:rFonts w:ascii="Arial" w:hAnsi="Arial" w:cs="Arial"/>
          <w:b/>
          <w:bCs/>
        </w:rPr>
      </w:pPr>
    </w:p>
    <w:p w:rsidR="00101415" w:rsidRDefault="00101415" w:rsidP="00841F29">
      <w:pPr>
        <w:jc w:val="both"/>
        <w:rPr>
          <w:rFonts w:ascii="Arial" w:hAnsi="Arial" w:cs="Arial"/>
          <w:b/>
          <w:bCs/>
        </w:rPr>
      </w:pPr>
    </w:p>
    <w:p w:rsidR="00101415" w:rsidRDefault="00101415" w:rsidP="00841F29">
      <w:pPr>
        <w:jc w:val="both"/>
        <w:rPr>
          <w:rFonts w:ascii="Arial" w:hAnsi="Arial" w:cs="Arial"/>
          <w:b/>
          <w:bCs/>
        </w:rPr>
      </w:pPr>
    </w:p>
    <w:p w:rsidR="00530B3C" w:rsidRDefault="00530B3C" w:rsidP="00841F29">
      <w:pPr>
        <w:jc w:val="both"/>
        <w:rPr>
          <w:rFonts w:ascii="Arial" w:hAnsi="Arial" w:cs="Arial"/>
          <w:b/>
          <w:bCs/>
        </w:rPr>
      </w:pPr>
    </w:p>
    <w:p w:rsidR="00B250B3" w:rsidRDefault="00B250B3" w:rsidP="00841F29">
      <w:pPr>
        <w:jc w:val="both"/>
        <w:rPr>
          <w:rFonts w:ascii="Arial" w:hAnsi="Arial" w:cs="Arial"/>
          <w:b/>
          <w:bCs/>
        </w:rPr>
      </w:pPr>
    </w:p>
    <w:p w:rsidR="00B250B3" w:rsidRDefault="00B250B3" w:rsidP="00841F29">
      <w:pPr>
        <w:jc w:val="both"/>
        <w:rPr>
          <w:rFonts w:ascii="Arial" w:hAnsi="Arial" w:cs="Arial"/>
          <w:b/>
          <w:bCs/>
        </w:rPr>
      </w:pPr>
    </w:p>
    <w:p w:rsidR="00530B3C" w:rsidRDefault="00530B3C" w:rsidP="00841F29">
      <w:pPr>
        <w:jc w:val="both"/>
        <w:rPr>
          <w:rFonts w:ascii="Arial" w:hAnsi="Arial" w:cs="Arial"/>
          <w:b/>
          <w:bCs/>
        </w:rPr>
      </w:pPr>
    </w:p>
    <w:p w:rsidR="00101415" w:rsidRDefault="00101415" w:rsidP="00841F29">
      <w:pPr>
        <w:jc w:val="both"/>
        <w:rPr>
          <w:rFonts w:ascii="Arial" w:hAnsi="Arial" w:cs="Arial"/>
          <w:b/>
          <w:bCs/>
        </w:rPr>
      </w:pPr>
    </w:p>
    <w:p w:rsidR="00101415" w:rsidRPr="009F5A31" w:rsidRDefault="00101415" w:rsidP="00841F29">
      <w:pPr>
        <w:jc w:val="both"/>
        <w:rPr>
          <w:rFonts w:ascii="Arial" w:hAnsi="Arial" w:cs="Arial"/>
          <w:bCs/>
          <w:sz w:val="20"/>
          <w:szCs w:val="20"/>
        </w:rPr>
      </w:pPr>
      <w:r w:rsidRPr="009F5A31">
        <w:rPr>
          <w:rFonts w:ascii="Arial" w:hAnsi="Arial" w:cs="Arial"/>
          <w:bCs/>
          <w:sz w:val="20"/>
          <w:szCs w:val="20"/>
        </w:rPr>
        <w:t>In the past 12</w:t>
      </w:r>
      <w:r w:rsidR="00D01877" w:rsidRPr="009F5A31">
        <w:rPr>
          <w:rFonts w:ascii="Arial" w:hAnsi="Arial" w:cs="Arial"/>
          <w:bCs/>
          <w:sz w:val="20"/>
          <w:szCs w:val="20"/>
        </w:rPr>
        <w:t xml:space="preserve"> (20</w:t>
      </w:r>
      <w:r w:rsidR="00D9541F">
        <w:rPr>
          <w:rFonts w:ascii="Arial" w:hAnsi="Arial" w:cs="Arial"/>
          <w:bCs/>
          <w:sz w:val="20"/>
          <w:szCs w:val="20"/>
        </w:rPr>
        <w:t>14</w:t>
      </w:r>
      <w:r w:rsidR="00D01877" w:rsidRPr="009F5A31">
        <w:rPr>
          <w:rFonts w:ascii="Arial" w:hAnsi="Arial" w:cs="Arial"/>
          <w:bCs/>
          <w:sz w:val="20"/>
          <w:szCs w:val="20"/>
        </w:rPr>
        <w:t>/</w:t>
      </w:r>
      <w:r w:rsidR="00D9541F">
        <w:rPr>
          <w:rFonts w:ascii="Arial" w:hAnsi="Arial" w:cs="Arial"/>
          <w:bCs/>
          <w:sz w:val="20"/>
          <w:szCs w:val="20"/>
        </w:rPr>
        <w:t>15</w:t>
      </w:r>
      <w:r w:rsidR="00D01877" w:rsidRPr="009F5A31">
        <w:rPr>
          <w:rFonts w:ascii="Arial" w:hAnsi="Arial" w:cs="Arial"/>
          <w:bCs/>
          <w:sz w:val="20"/>
          <w:szCs w:val="20"/>
        </w:rPr>
        <w:t xml:space="preserve">) </w:t>
      </w:r>
      <w:r w:rsidRPr="009F5A31">
        <w:rPr>
          <w:rFonts w:ascii="Arial" w:hAnsi="Arial" w:cs="Arial"/>
          <w:bCs/>
          <w:sz w:val="20"/>
          <w:szCs w:val="20"/>
        </w:rPr>
        <w:t xml:space="preserve">months there were </w:t>
      </w:r>
      <w:r w:rsidR="00B250B3">
        <w:rPr>
          <w:rFonts w:ascii="Arial" w:hAnsi="Arial" w:cs="Arial"/>
          <w:bCs/>
          <w:sz w:val="20"/>
          <w:szCs w:val="20"/>
        </w:rPr>
        <w:t>xx</w:t>
      </w:r>
      <w:r w:rsidR="00D01877" w:rsidRPr="009F5A31">
        <w:rPr>
          <w:rFonts w:ascii="Arial" w:hAnsi="Arial" w:cs="Arial"/>
          <w:b/>
          <w:bCs/>
          <w:sz w:val="20"/>
          <w:szCs w:val="20"/>
        </w:rPr>
        <w:t xml:space="preserve"> </w:t>
      </w:r>
      <w:r w:rsidR="00D01877" w:rsidRPr="009F5A31">
        <w:rPr>
          <w:rFonts w:ascii="Arial" w:hAnsi="Arial" w:cs="Arial"/>
          <w:bCs/>
          <w:sz w:val="20"/>
          <w:szCs w:val="20"/>
        </w:rPr>
        <w:t>(</w:t>
      </w:r>
      <w:r w:rsidR="00B250B3">
        <w:rPr>
          <w:rFonts w:ascii="Arial" w:hAnsi="Arial" w:cs="Arial"/>
          <w:bCs/>
          <w:sz w:val="20"/>
          <w:szCs w:val="20"/>
        </w:rPr>
        <w:t>xx</w:t>
      </w:r>
      <w:r w:rsidR="00493820">
        <w:rPr>
          <w:rFonts w:ascii="Arial" w:hAnsi="Arial" w:cs="Arial"/>
          <w:bCs/>
          <w:sz w:val="20"/>
          <w:szCs w:val="20"/>
        </w:rPr>
        <w:t>% increase from 2013/14</w:t>
      </w:r>
      <w:r w:rsidR="00D01877" w:rsidRPr="009F5A31">
        <w:rPr>
          <w:rFonts w:ascii="Arial" w:hAnsi="Arial" w:cs="Arial"/>
          <w:bCs/>
          <w:sz w:val="20"/>
          <w:szCs w:val="20"/>
        </w:rPr>
        <w:t>)</w:t>
      </w:r>
      <w:r w:rsidRPr="009F5A31">
        <w:rPr>
          <w:rFonts w:ascii="Arial" w:hAnsi="Arial" w:cs="Arial"/>
          <w:bCs/>
          <w:sz w:val="20"/>
          <w:szCs w:val="20"/>
        </w:rPr>
        <w:t xml:space="preserve"> new patient</w:t>
      </w:r>
      <w:r w:rsidR="00D01877" w:rsidRPr="009F5A31">
        <w:rPr>
          <w:rFonts w:ascii="Arial" w:hAnsi="Arial" w:cs="Arial"/>
          <w:bCs/>
          <w:sz w:val="20"/>
          <w:szCs w:val="20"/>
        </w:rPr>
        <w:t xml:space="preserve"> (visitor)</w:t>
      </w:r>
      <w:r w:rsidRPr="009F5A31">
        <w:rPr>
          <w:rFonts w:ascii="Arial" w:hAnsi="Arial" w:cs="Arial"/>
          <w:bCs/>
          <w:sz w:val="20"/>
          <w:szCs w:val="20"/>
        </w:rPr>
        <w:t xml:space="preserve"> / staff safety claims notified to the Trust </w:t>
      </w:r>
      <w:r w:rsidR="00D9541F">
        <w:rPr>
          <w:rFonts w:ascii="Arial" w:hAnsi="Arial" w:cs="Arial"/>
          <w:bCs/>
          <w:sz w:val="20"/>
          <w:szCs w:val="20"/>
        </w:rPr>
        <w:t xml:space="preserve">and </w:t>
      </w:r>
      <w:r w:rsidRPr="009F5A31">
        <w:rPr>
          <w:rFonts w:ascii="Arial" w:hAnsi="Arial" w:cs="Arial"/>
          <w:bCs/>
          <w:sz w:val="20"/>
          <w:szCs w:val="20"/>
        </w:rPr>
        <w:t xml:space="preserve">referred onto the NHSLA.  </w:t>
      </w:r>
    </w:p>
    <w:p w:rsidR="00101415" w:rsidRPr="009F5A31" w:rsidRDefault="00101415" w:rsidP="00841F29">
      <w:pPr>
        <w:jc w:val="both"/>
        <w:rPr>
          <w:rFonts w:ascii="Arial" w:hAnsi="Arial" w:cs="Arial"/>
          <w:bCs/>
          <w:sz w:val="20"/>
          <w:szCs w:val="20"/>
        </w:rPr>
      </w:pPr>
    </w:p>
    <w:p w:rsidR="009F5A31" w:rsidRPr="009F5A31" w:rsidRDefault="00101415" w:rsidP="00841F29">
      <w:pPr>
        <w:jc w:val="both"/>
        <w:rPr>
          <w:rFonts w:ascii="Arial" w:hAnsi="Arial" w:cs="Arial"/>
          <w:bCs/>
          <w:sz w:val="20"/>
          <w:szCs w:val="20"/>
        </w:rPr>
      </w:pPr>
      <w:r w:rsidRPr="009F5A31">
        <w:rPr>
          <w:rFonts w:ascii="Arial" w:hAnsi="Arial" w:cs="Arial"/>
          <w:bCs/>
          <w:sz w:val="20"/>
          <w:szCs w:val="20"/>
        </w:rPr>
        <w:t xml:space="preserve">For the majority of patient </w:t>
      </w:r>
      <w:r w:rsidR="00FF17DE">
        <w:rPr>
          <w:rFonts w:ascii="Arial" w:hAnsi="Arial" w:cs="Arial"/>
          <w:bCs/>
          <w:sz w:val="20"/>
          <w:szCs w:val="20"/>
        </w:rPr>
        <w:t xml:space="preserve">(visitor) </w:t>
      </w:r>
      <w:r w:rsidRPr="009F5A31">
        <w:rPr>
          <w:rFonts w:ascii="Arial" w:hAnsi="Arial" w:cs="Arial"/>
          <w:bCs/>
          <w:sz w:val="20"/>
          <w:szCs w:val="20"/>
        </w:rPr>
        <w:t xml:space="preserve">and staff safety claims when they are notified they usually come in the form of a “letter of claim”, which is pre-action but a “formal” notification of what the claim is about. We have three months to fully investigate the allegations being made and to provide a detailed response.  In accordance with Liabilities to Third Party scheme administered by the NHSLA we are required to report all such claims within 21 days of receipt with supporting evidence. </w:t>
      </w:r>
    </w:p>
    <w:p w:rsidR="009F5A31" w:rsidRPr="009F5A31" w:rsidRDefault="009F5A31" w:rsidP="00841F29">
      <w:pPr>
        <w:jc w:val="both"/>
        <w:rPr>
          <w:rFonts w:ascii="Arial" w:hAnsi="Arial" w:cs="Arial"/>
          <w:bCs/>
          <w:sz w:val="20"/>
          <w:szCs w:val="20"/>
        </w:rPr>
      </w:pPr>
    </w:p>
    <w:p w:rsidR="00101415" w:rsidRDefault="009F5A31" w:rsidP="00841F29">
      <w:pPr>
        <w:jc w:val="both"/>
        <w:rPr>
          <w:rFonts w:ascii="Arial" w:hAnsi="Arial" w:cs="Arial"/>
          <w:bCs/>
          <w:sz w:val="20"/>
          <w:szCs w:val="20"/>
        </w:rPr>
      </w:pPr>
      <w:r w:rsidRPr="009F5A31">
        <w:rPr>
          <w:rFonts w:ascii="Arial" w:hAnsi="Arial" w:cs="Arial"/>
          <w:bCs/>
          <w:sz w:val="20"/>
          <w:szCs w:val="20"/>
        </w:rPr>
        <w:t>In September 2013 t</w:t>
      </w:r>
      <w:r w:rsidR="001217AA" w:rsidRPr="009F5A31">
        <w:rPr>
          <w:rFonts w:ascii="Arial" w:hAnsi="Arial" w:cs="Arial"/>
          <w:bCs/>
          <w:sz w:val="20"/>
          <w:szCs w:val="20"/>
        </w:rPr>
        <w:t>he Ministry of Justice</w:t>
      </w:r>
      <w:r w:rsidRPr="009F5A31">
        <w:rPr>
          <w:rFonts w:ascii="Arial" w:hAnsi="Arial" w:cs="Arial"/>
          <w:bCs/>
          <w:sz w:val="20"/>
          <w:szCs w:val="20"/>
        </w:rPr>
        <w:t xml:space="preserve">  new</w:t>
      </w:r>
      <w:r w:rsidR="001217AA" w:rsidRPr="009F5A31">
        <w:rPr>
          <w:rFonts w:ascii="Arial" w:hAnsi="Arial" w:cs="Arial"/>
          <w:bCs/>
          <w:sz w:val="20"/>
          <w:szCs w:val="20"/>
        </w:rPr>
        <w:t xml:space="preserve"> </w:t>
      </w:r>
      <w:r w:rsidR="00D01877" w:rsidRPr="009F5A31">
        <w:rPr>
          <w:rFonts w:ascii="Arial" w:hAnsi="Arial" w:cs="Arial"/>
          <w:bCs/>
          <w:sz w:val="20"/>
          <w:szCs w:val="20"/>
        </w:rPr>
        <w:t xml:space="preserve">“portal claims” </w:t>
      </w:r>
      <w:r w:rsidR="001217AA" w:rsidRPr="009F5A31">
        <w:rPr>
          <w:rFonts w:ascii="Arial" w:hAnsi="Arial" w:cs="Arial"/>
          <w:bCs/>
          <w:sz w:val="20"/>
          <w:szCs w:val="20"/>
        </w:rPr>
        <w:t>service</w:t>
      </w:r>
      <w:r w:rsidR="003C7153">
        <w:rPr>
          <w:rFonts w:ascii="Arial" w:hAnsi="Arial" w:cs="Arial"/>
          <w:bCs/>
          <w:sz w:val="20"/>
          <w:szCs w:val="20"/>
        </w:rPr>
        <w:t xml:space="preserve"> began to operate</w:t>
      </w:r>
      <w:r w:rsidR="001217AA" w:rsidRPr="009F5A31">
        <w:rPr>
          <w:rFonts w:ascii="Arial" w:hAnsi="Arial" w:cs="Arial"/>
          <w:bCs/>
          <w:sz w:val="20"/>
          <w:szCs w:val="20"/>
        </w:rPr>
        <w:t xml:space="preserve"> (</w:t>
      </w:r>
      <w:r w:rsidR="003C7153">
        <w:rPr>
          <w:rFonts w:ascii="Arial" w:hAnsi="Arial" w:cs="Arial"/>
          <w:bCs/>
          <w:sz w:val="20"/>
          <w:szCs w:val="20"/>
        </w:rPr>
        <w:t xml:space="preserve">non clinical </w:t>
      </w:r>
      <w:r w:rsidR="001217AA" w:rsidRPr="009F5A31">
        <w:rPr>
          <w:rFonts w:ascii="Arial" w:hAnsi="Arial" w:cs="Arial"/>
          <w:bCs/>
          <w:sz w:val="20"/>
          <w:szCs w:val="20"/>
        </w:rPr>
        <w:t xml:space="preserve">claims valued up to £25k) </w:t>
      </w:r>
      <w:r w:rsidR="00D01877" w:rsidRPr="009F5A31">
        <w:rPr>
          <w:rFonts w:ascii="Arial" w:hAnsi="Arial" w:cs="Arial"/>
          <w:bCs/>
          <w:sz w:val="20"/>
          <w:szCs w:val="20"/>
        </w:rPr>
        <w:t>on</w:t>
      </w:r>
      <w:r w:rsidR="008744B8" w:rsidRPr="009F5A31">
        <w:rPr>
          <w:rFonts w:ascii="Arial" w:hAnsi="Arial" w:cs="Arial"/>
          <w:bCs/>
          <w:sz w:val="20"/>
          <w:szCs w:val="20"/>
        </w:rPr>
        <w:t>c</w:t>
      </w:r>
      <w:r w:rsidR="00D01877" w:rsidRPr="009F5A31">
        <w:rPr>
          <w:rFonts w:ascii="Arial" w:hAnsi="Arial" w:cs="Arial"/>
          <w:bCs/>
          <w:sz w:val="20"/>
          <w:szCs w:val="20"/>
        </w:rPr>
        <w:t xml:space="preserve">e received and acknowledged we have </w:t>
      </w:r>
      <w:r w:rsidR="00211A4B" w:rsidRPr="009F5A31">
        <w:rPr>
          <w:rFonts w:ascii="Arial" w:hAnsi="Arial" w:cs="Arial"/>
          <w:bCs/>
          <w:sz w:val="20"/>
          <w:szCs w:val="20"/>
        </w:rPr>
        <w:t>40</w:t>
      </w:r>
      <w:r w:rsidR="003C7153">
        <w:rPr>
          <w:rFonts w:ascii="Arial" w:hAnsi="Arial" w:cs="Arial"/>
          <w:bCs/>
          <w:sz w:val="20"/>
          <w:szCs w:val="20"/>
        </w:rPr>
        <w:t xml:space="preserve"> days </w:t>
      </w:r>
      <w:r w:rsidR="00D01877" w:rsidRPr="009F5A31">
        <w:rPr>
          <w:rFonts w:ascii="Arial" w:hAnsi="Arial" w:cs="Arial"/>
          <w:bCs/>
          <w:sz w:val="20"/>
          <w:szCs w:val="20"/>
        </w:rPr>
        <w:t xml:space="preserve"> </w:t>
      </w:r>
      <w:r w:rsidR="008744B8" w:rsidRPr="009F5A31">
        <w:rPr>
          <w:rFonts w:ascii="Arial" w:hAnsi="Arial" w:cs="Arial"/>
          <w:bCs/>
          <w:sz w:val="20"/>
          <w:szCs w:val="20"/>
        </w:rPr>
        <w:t xml:space="preserve">(public liability claims) and </w:t>
      </w:r>
      <w:r w:rsidR="00211A4B" w:rsidRPr="009F5A31">
        <w:rPr>
          <w:rFonts w:ascii="Arial" w:hAnsi="Arial" w:cs="Arial"/>
          <w:bCs/>
          <w:sz w:val="20"/>
          <w:szCs w:val="20"/>
        </w:rPr>
        <w:t>30</w:t>
      </w:r>
      <w:r w:rsidR="008744B8" w:rsidRPr="009F5A31">
        <w:rPr>
          <w:rFonts w:ascii="Arial" w:hAnsi="Arial" w:cs="Arial"/>
          <w:bCs/>
          <w:sz w:val="20"/>
          <w:szCs w:val="20"/>
        </w:rPr>
        <w:t xml:space="preserve"> days (employer liability) </w:t>
      </w:r>
      <w:r w:rsidR="00D01877" w:rsidRPr="009F5A31">
        <w:rPr>
          <w:rFonts w:ascii="Arial" w:hAnsi="Arial" w:cs="Arial"/>
          <w:bCs/>
          <w:sz w:val="20"/>
          <w:szCs w:val="20"/>
        </w:rPr>
        <w:t xml:space="preserve">to </w:t>
      </w:r>
      <w:r w:rsidR="003C7153">
        <w:rPr>
          <w:rFonts w:ascii="Arial" w:hAnsi="Arial" w:cs="Arial"/>
          <w:bCs/>
          <w:sz w:val="20"/>
          <w:szCs w:val="20"/>
        </w:rPr>
        <w:t xml:space="preserve">investigate / </w:t>
      </w:r>
      <w:r w:rsidR="00D01877" w:rsidRPr="009F5A31">
        <w:rPr>
          <w:rFonts w:ascii="Arial" w:hAnsi="Arial" w:cs="Arial"/>
          <w:bCs/>
          <w:sz w:val="20"/>
          <w:szCs w:val="20"/>
        </w:rPr>
        <w:t>respond to the issue of liability.</w:t>
      </w:r>
      <w:r w:rsidR="00FF17DE">
        <w:rPr>
          <w:rFonts w:ascii="Arial" w:hAnsi="Arial" w:cs="Arial"/>
          <w:bCs/>
          <w:sz w:val="20"/>
          <w:szCs w:val="20"/>
        </w:rPr>
        <w:t xml:space="preserve"> </w:t>
      </w:r>
      <w:r w:rsidR="00D9541F">
        <w:rPr>
          <w:rFonts w:ascii="Arial" w:hAnsi="Arial" w:cs="Arial"/>
          <w:bCs/>
          <w:sz w:val="20"/>
          <w:szCs w:val="20"/>
        </w:rPr>
        <w:t xml:space="preserve"> </w:t>
      </w:r>
    </w:p>
    <w:p w:rsidR="00D9541F" w:rsidRDefault="00D9541F" w:rsidP="00841F29">
      <w:pPr>
        <w:jc w:val="both"/>
        <w:rPr>
          <w:rFonts w:ascii="Arial" w:hAnsi="Arial" w:cs="Arial"/>
          <w:bCs/>
          <w:sz w:val="20"/>
          <w:szCs w:val="20"/>
        </w:rPr>
      </w:pPr>
    </w:p>
    <w:p w:rsidR="00D9541F" w:rsidRPr="009F5A31" w:rsidRDefault="00D9541F" w:rsidP="00841F2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 the last financial year </w:t>
      </w:r>
      <w:r w:rsidR="00B250B3">
        <w:rPr>
          <w:rFonts w:ascii="Arial" w:hAnsi="Arial" w:cs="Arial"/>
          <w:bCs/>
          <w:sz w:val="20"/>
          <w:szCs w:val="20"/>
        </w:rPr>
        <w:t>xx</w:t>
      </w:r>
      <w:r>
        <w:rPr>
          <w:rFonts w:ascii="Arial" w:hAnsi="Arial" w:cs="Arial"/>
          <w:bCs/>
          <w:sz w:val="20"/>
          <w:szCs w:val="20"/>
        </w:rPr>
        <w:t>% (</w:t>
      </w:r>
      <w:r w:rsidR="00B250B3">
        <w:rPr>
          <w:rFonts w:ascii="Arial" w:hAnsi="Arial" w:cs="Arial"/>
          <w:bCs/>
          <w:sz w:val="20"/>
          <w:szCs w:val="20"/>
        </w:rPr>
        <w:t>xx</w:t>
      </w:r>
      <w:r>
        <w:rPr>
          <w:rFonts w:ascii="Arial" w:hAnsi="Arial" w:cs="Arial"/>
          <w:bCs/>
          <w:sz w:val="20"/>
          <w:szCs w:val="20"/>
        </w:rPr>
        <w:t xml:space="preserve"> claims) were notified as “portal” claims – where admissions of liability are made costs</w:t>
      </w:r>
      <w:r w:rsidR="00493820">
        <w:rPr>
          <w:rFonts w:ascii="Arial" w:hAnsi="Arial" w:cs="Arial"/>
          <w:bCs/>
          <w:sz w:val="20"/>
          <w:szCs w:val="20"/>
        </w:rPr>
        <w:t xml:space="preserve"> (and damages)</w:t>
      </w:r>
      <w:r>
        <w:rPr>
          <w:rFonts w:ascii="Arial" w:hAnsi="Arial" w:cs="Arial"/>
          <w:bCs/>
          <w:sz w:val="20"/>
          <w:szCs w:val="20"/>
        </w:rPr>
        <w:t xml:space="preserve"> in these cases are capped and we should over a period of time see a reduction nationally in non-clinical claim costs</w:t>
      </w:r>
      <w:r w:rsidR="00493820">
        <w:rPr>
          <w:rFonts w:ascii="Arial" w:hAnsi="Arial" w:cs="Arial"/>
          <w:bCs/>
          <w:sz w:val="20"/>
          <w:szCs w:val="20"/>
        </w:rPr>
        <w:t xml:space="preserve"> and damages</w:t>
      </w:r>
      <w:r>
        <w:rPr>
          <w:rFonts w:ascii="Arial" w:hAnsi="Arial" w:cs="Arial"/>
          <w:bCs/>
          <w:sz w:val="20"/>
          <w:szCs w:val="20"/>
        </w:rPr>
        <w:t xml:space="preserve"> and ultimately a reduction in our</w:t>
      </w:r>
      <w:r w:rsidR="00493820">
        <w:rPr>
          <w:rFonts w:ascii="Arial" w:hAnsi="Arial" w:cs="Arial"/>
          <w:bCs/>
          <w:sz w:val="20"/>
          <w:szCs w:val="20"/>
        </w:rPr>
        <w:t xml:space="preserve"> LTPS (liability to third party) NHSLA</w:t>
      </w:r>
      <w:r>
        <w:rPr>
          <w:rFonts w:ascii="Arial" w:hAnsi="Arial" w:cs="Arial"/>
          <w:bCs/>
          <w:sz w:val="20"/>
          <w:szCs w:val="20"/>
        </w:rPr>
        <w:t xml:space="preserve"> contributions. </w:t>
      </w:r>
    </w:p>
    <w:p w:rsidR="00101415" w:rsidRDefault="00101415" w:rsidP="00841F29">
      <w:pPr>
        <w:jc w:val="both"/>
        <w:rPr>
          <w:rFonts w:ascii="Arial" w:hAnsi="Arial" w:cs="Arial"/>
          <w:bCs/>
          <w:sz w:val="20"/>
          <w:szCs w:val="20"/>
        </w:rPr>
      </w:pPr>
    </w:p>
    <w:p w:rsidR="000E34ED" w:rsidRDefault="008C247E" w:rsidP="00841F29">
      <w:pPr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1731010</wp:posOffset>
                </wp:positionV>
                <wp:extent cx="3130550" cy="1438275"/>
                <wp:effectExtent l="0" t="0" r="12700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7D7" w:rsidRDefault="006927D7" w:rsidP="00CD47C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Considerations</w:t>
                            </w:r>
                            <w:r w:rsidRPr="004A60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6927D7" w:rsidRPr="004A609A" w:rsidRDefault="006927D7" w:rsidP="00CD47C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927D7" w:rsidRPr="00171298" w:rsidRDefault="006927D7" w:rsidP="00CD47C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1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Cleaning stations in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“</w:t>
                            </w:r>
                            <w:r w:rsidRPr="00171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hot spot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”</w:t>
                            </w:r>
                            <w:r w:rsidRPr="00171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areas</w:t>
                            </w:r>
                          </w:p>
                          <w:p w:rsidR="006927D7" w:rsidRPr="00171298" w:rsidRDefault="006927D7" w:rsidP="00C62C4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1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Reminder - education / training Sharps </w:t>
                            </w:r>
                          </w:p>
                          <w:p w:rsidR="006927D7" w:rsidRPr="00171298" w:rsidRDefault="006927D7" w:rsidP="00CD47C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1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Safer sharps </w:t>
                            </w:r>
                          </w:p>
                          <w:p w:rsidR="006927D7" w:rsidRPr="00171298" w:rsidRDefault="006927D7" w:rsidP="00CD47C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1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Manual Handling in focused areas</w:t>
                            </w:r>
                          </w:p>
                          <w:p w:rsidR="006927D7" w:rsidRPr="00171298" w:rsidRDefault="006927D7" w:rsidP="00CD47C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1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Reminder education / training incident reporting for Trust staff and Contractors</w:t>
                            </w:r>
                          </w:p>
                          <w:p w:rsidR="006927D7" w:rsidRDefault="006927D7" w:rsidP="00CD47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927D7" w:rsidRDefault="006927D7" w:rsidP="00CD47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927D7" w:rsidRDefault="006927D7" w:rsidP="00CD47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927D7" w:rsidRDefault="006927D7" w:rsidP="00CD47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7.5pt;margin-top:136.3pt;width:246.5pt;height:1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GkKwIAAFEEAAAOAAAAZHJzL2Uyb0RvYy54bWysVNtu2zAMfR+wfxD0vtjOpU2NOEWXLsOA&#10;7gK0+wBZlm1hsqhJSuzs60fJbpbdXob5QSBF6pA8JL25HTpFjsI6Cbqg2SylRGgOldRNQT8/7V+t&#10;KXGe6Yop0KKgJ+Ho7fbli01vcjGHFlQlLEEQ7fLeFLT13uRJ4ngrOuZmYIRGYw22Yx5V2ySVZT2i&#10;dyqZp+lV0oOtjAUunMPb+9FItxG/rgX3H+vaCU9UQTE3H08bzzKcyXbD8sYy00o+pcH+IYuOSY1B&#10;z1D3zDNysPI3qE5yCw5qP+PQJVDXkotYA1aTpb9U89gyI2ItSI4zZ5rc/4PlH46fLJFVQZeUaNZh&#10;i57E4MlrGMhVYKc3LkenR4NufsBr7HKs1JkH4F8c0bBrmW7EnbXQt4JVmF0WXiYXT0ccF0DK/j1U&#10;GIYdPESgobZdoA7JIIiOXTqdOxNS4Xi5yBbpaoUmjrZsuVjPr1cxBsufnxvr/FsBHQlCQS22PsKz&#10;44PzIR2WP7uEaA6UrPZSqajYptwpS44Mx2Qfvwn9JzelSV/Qm9V8NTLwV4g0fn+C6KTHeVeyK+j6&#10;7MTywNsbXcVp9EyqUcaUlZ6IDNyNLPqhHKbGlFCdkFIL41zjHqLQgv1GSY8zXVD39cCsoES909iW&#10;m2y5DEsQleXqeo6KvbSUlxamOUIV1FMyijs/Ls7BWNm0GGkcBA132MpaRpJDz8esprxxbiP3046F&#10;xbjUo9ePP8H2OwAAAP//AwBQSwMEFAAGAAgAAAAhAA2d9xniAAAADAEAAA8AAABkcnMvZG93bnJl&#10;di54bWxMj8FOwzAQRO9I/IO1SFwQdRqSNAnZVAgJBDdoK7i6sZtExOtgu2n4e9wTHGdnNPumWs96&#10;YJOyrjeEsFxEwBQ1RvbUIuy2T7c5MOcFSTEYUgg/ysG6vryoRCnNid7VtPEtCyXkSoHQeT+WnLum&#10;U1q4hRkVBe9grBY+SNtyacUplOuBx1GUcS16Ch86MarHTjVfm6NGyJOX6dO93r19NNlhKPzNanr+&#10;tojXV/PDPTCvZv8XhjN+QIc6MO3NkaRjA0KapmGLR4hXcQbsnIiSPJz2CElRLIHXFf8/ov4FAAD/&#10;/wMAUEsBAi0AFAAGAAgAAAAhALaDOJL+AAAA4QEAABMAAAAAAAAAAAAAAAAAAAAAAFtDb250ZW50&#10;X1R5cGVzXS54bWxQSwECLQAUAAYACAAAACEAOP0h/9YAAACUAQAACwAAAAAAAAAAAAAAAAAvAQAA&#10;X3JlbHMvLnJlbHNQSwECLQAUAAYACAAAACEAmbaBpCsCAABRBAAADgAAAAAAAAAAAAAAAAAuAgAA&#10;ZHJzL2Uyb0RvYy54bWxQSwECLQAUAAYACAAAACEADZ33GeIAAAAMAQAADwAAAAAAAAAAAAAAAACF&#10;BAAAZHJzL2Rvd25yZXYueG1sUEsFBgAAAAAEAAQA8wAAAJQFAAAAAA==&#10;">
                <v:textbox>
                  <w:txbxContent>
                    <w:p w:rsidR="006927D7" w:rsidRDefault="006927D7" w:rsidP="00CD47C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Considerations</w:t>
                      </w:r>
                      <w:r w:rsidRPr="004A609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:rsidR="006927D7" w:rsidRPr="004A609A" w:rsidRDefault="006927D7" w:rsidP="00CD47C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927D7" w:rsidRPr="00171298" w:rsidRDefault="006927D7" w:rsidP="00CD47C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129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Cleaning stations in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“</w:t>
                      </w:r>
                      <w:r w:rsidRPr="00171298">
                        <w:rPr>
                          <w:rFonts w:ascii="Arial" w:hAnsi="Arial" w:cs="Arial"/>
                          <w:sz w:val="18"/>
                          <w:szCs w:val="18"/>
                        </w:rPr>
                        <w:t>hot spot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”</w:t>
                      </w:r>
                      <w:r w:rsidRPr="0017129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areas</w:t>
                      </w:r>
                    </w:p>
                    <w:p w:rsidR="006927D7" w:rsidRPr="00171298" w:rsidRDefault="006927D7" w:rsidP="00C62C4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129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Reminder - education / training Sharps </w:t>
                      </w:r>
                    </w:p>
                    <w:p w:rsidR="006927D7" w:rsidRPr="00171298" w:rsidRDefault="006927D7" w:rsidP="00CD47C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129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Safer sharps </w:t>
                      </w:r>
                    </w:p>
                    <w:p w:rsidR="006927D7" w:rsidRPr="00171298" w:rsidRDefault="006927D7" w:rsidP="00CD47C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1298">
                        <w:rPr>
                          <w:rFonts w:ascii="Arial" w:hAnsi="Arial" w:cs="Arial"/>
                          <w:sz w:val="18"/>
                          <w:szCs w:val="18"/>
                        </w:rPr>
                        <w:t>Manual Handling in focused areas</w:t>
                      </w:r>
                    </w:p>
                    <w:p w:rsidR="006927D7" w:rsidRPr="00171298" w:rsidRDefault="006927D7" w:rsidP="00CD47C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1298">
                        <w:rPr>
                          <w:rFonts w:ascii="Arial" w:hAnsi="Arial" w:cs="Arial"/>
                          <w:sz w:val="18"/>
                          <w:szCs w:val="18"/>
                        </w:rPr>
                        <w:t>Reminder education / training incident reporting for Trust staff and Contractors</w:t>
                      </w:r>
                    </w:p>
                    <w:p w:rsidR="006927D7" w:rsidRDefault="006927D7" w:rsidP="00CD47C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927D7" w:rsidRDefault="006927D7" w:rsidP="00CD47C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927D7" w:rsidRDefault="006927D7" w:rsidP="00CD47C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927D7" w:rsidRDefault="006927D7" w:rsidP="00CD47C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114300</wp:posOffset>
                </wp:positionV>
                <wp:extent cx="3140075" cy="1466850"/>
                <wp:effectExtent l="0" t="0" r="2222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7D7" w:rsidRPr="004A609A" w:rsidRDefault="006927D7" w:rsidP="00D174B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A60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Themes: </w:t>
                            </w:r>
                          </w:p>
                          <w:p w:rsidR="006927D7" w:rsidRPr="00171298" w:rsidRDefault="006927D7" w:rsidP="00453D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1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Slips and trips due to water/oil on floor</w:t>
                            </w:r>
                          </w:p>
                          <w:p w:rsidR="006927D7" w:rsidRPr="00171298" w:rsidRDefault="006927D7" w:rsidP="00453D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1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Sharps disposed of / located in waste bags</w:t>
                            </w:r>
                          </w:p>
                          <w:p w:rsidR="006927D7" w:rsidRPr="00171298" w:rsidRDefault="006927D7" w:rsidP="00453D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1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“Hot spot” risk of sharps to waste collectors and domestics</w:t>
                            </w:r>
                          </w:p>
                          <w:p w:rsidR="006927D7" w:rsidRPr="00171298" w:rsidRDefault="006927D7" w:rsidP="00453D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1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Failure to report via the Trust incident reporting system</w:t>
                            </w:r>
                          </w:p>
                          <w:p w:rsidR="006927D7" w:rsidRDefault="006927D7" w:rsidP="00453D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1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Manual handling individual assessment</w:t>
                            </w:r>
                          </w:p>
                          <w:p w:rsidR="006927D7" w:rsidRPr="00171298" w:rsidRDefault="006927D7" w:rsidP="00453D0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Equipment failure/maintenance</w:t>
                            </w:r>
                          </w:p>
                          <w:p w:rsidR="006927D7" w:rsidRDefault="006927D7" w:rsidP="00D174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927D7" w:rsidRDefault="006927D7" w:rsidP="00D174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927D7" w:rsidRDefault="006927D7" w:rsidP="00D174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927D7" w:rsidRDefault="006927D7" w:rsidP="00D174B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6.75pt;margin-top:9pt;width:247.25pt;height:1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GiJLgIAAFgEAAAOAAAAZHJzL2Uyb0RvYy54bWysVNtu2zAMfR+wfxD0vthOnTQ14hRdugwD&#10;ugvQ7gNkWbaFyaImKbG7ry8lp2nQbS/D/CCIInVEnkN6fT32ihyEdRJ0SbNZSonQHGqp25J+f9i9&#10;W1HiPNM1U6BFSR+Fo9ebt2/WgynEHDpQtbAEQbQrBlPSzntTJInjneiZm4ERGp0N2J55NG2b1JYN&#10;iN6rZJ6my2QAWxsLXDiHp7eTk24iftMI7r82jROeqJJibj6uNq5VWJPNmhWtZaaT/JgG+4cseiY1&#10;PnqCumWekb2Vv0H1kltw0PgZhz6BppFcxBqwmix9Vc19x4yItSA5zpxocv8Pln85fLNE1iW9oESz&#10;HiV6EKMn72EkeWBnMK7AoHuDYX7EY1Q5VurMHfAfjmjYdky34sZaGDrBaswuCzeTs6sTjgsg1fAZ&#10;anyG7T1EoLGxfaAOySCIjio9npQJqXA8vMjyNL1cUMLRl+XL5WoRtUtY8XzdWOc/CuhJ2JTUovQR&#10;nh3unA/psOI5JLzmQMl6J5WKhm2rrbLkwLBNdvGLFbwKU5oMJb1azBcTA3+FSOP3J4heeux3JfuS&#10;rk5BrAi8fdB17EbPpJr2mLLSRyIDdxOLfqzGqFhkOZBcQf2IzFqY2hvHETcd2F+UDNjaJXU/98wK&#10;StQnjepcZXkeZiEa+eJyjoY991TnHqY5QpXUUzJtt36an72xsu3wpakfNNygoo2MXL9kdUwf2zdK&#10;cBy1MB/ndox6+SFsngAAAP//AwBQSwMEFAAGAAgAAAAhAFMMXcPgAAAACwEAAA8AAABkcnMvZG93&#10;bnJldi54bWxMj81OwzAQhO9IvIO1SFxQa9MmJQ1xKoQEojdoEVzdZJtE+CfYbhrens0JbjuaT7Mz&#10;xWY0mg3oQ+eshNu5AIa2cnVnGwnv+6dZBixEZWulnUUJPxhgU15eFCqv3dm+4bCLDaMQG3IloY2x&#10;zzkPVYtGhbnr0ZJ3dN6oSNI3vPbqTOFG84UQK25UZ+lDq3p8bLH62p2MhCx5GT7Ddvn6Ua2Oeh1v&#10;7obnby/l9dX4cA8s4hj/YJjqU3UoqdPBnWwdmJaQpsuUUDIy2jQBIpmug4RFshbAy4L/31D+AgAA&#10;//8DAFBLAQItABQABgAIAAAAIQC2gziS/gAAAOEBAAATAAAAAAAAAAAAAAAAAAAAAABbQ29udGVu&#10;dF9UeXBlc10ueG1sUEsBAi0AFAAGAAgAAAAhADj9If/WAAAAlAEAAAsAAAAAAAAAAAAAAAAALwEA&#10;AF9yZWxzLy5yZWxzUEsBAi0AFAAGAAgAAAAhAPr4aIkuAgAAWAQAAA4AAAAAAAAAAAAAAAAALgIA&#10;AGRycy9lMm9Eb2MueG1sUEsBAi0AFAAGAAgAAAAhAFMMXcPgAAAACwEAAA8AAAAAAAAAAAAAAAAA&#10;iAQAAGRycy9kb3ducmV2LnhtbFBLBQYAAAAABAAEAPMAAACVBQAAAAA=&#10;">
                <v:textbox>
                  <w:txbxContent>
                    <w:p w:rsidR="006927D7" w:rsidRPr="004A609A" w:rsidRDefault="006927D7" w:rsidP="00D174B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A609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Themes: </w:t>
                      </w:r>
                    </w:p>
                    <w:p w:rsidR="006927D7" w:rsidRPr="00171298" w:rsidRDefault="006927D7" w:rsidP="00453D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1298">
                        <w:rPr>
                          <w:rFonts w:ascii="Arial" w:hAnsi="Arial" w:cs="Arial"/>
                          <w:sz w:val="18"/>
                          <w:szCs w:val="18"/>
                        </w:rPr>
                        <w:t>Slips and trips due to water/oil on floor</w:t>
                      </w:r>
                    </w:p>
                    <w:p w:rsidR="006927D7" w:rsidRPr="00171298" w:rsidRDefault="006927D7" w:rsidP="00453D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1298">
                        <w:rPr>
                          <w:rFonts w:ascii="Arial" w:hAnsi="Arial" w:cs="Arial"/>
                          <w:sz w:val="18"/>
                          <w:szCs w:val="18"/>
                        </w:rPr>
                        <w:t>Sharps disposed of / located in waste bags</w:t>
                      </w:r>
                    </w:p>
                    <w:p w:rsidR="006927D7" w:rsidRPr="00171298" w:rsidRDefault="006927D7" w:rsidP="00453D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1298">
                        <w:rPr>
                          <w:rFonts w:ascii="Arial" w:hAnsi="Arial" w:cs="Arial"/>
                          <w:sz w:val="18"/>
                          <w:szCs w:val="18"/>
                        </w:rPr>
                        <w:t>“Hot spot” risk of sharps to waste collectors and domestics</w:t>
                      </w:r>
                    </w:p>
                    <w:p w:rsidR="006927D7" w:rsidRPr="00171298" w:rsidRDefault="006927D7" w:rsidP="00453D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1298">
                        <w:rPr>
                          <w:rFonts w:ascii="Arial" w:hAnsi="Arial" w:cs="Arial"/>
                          <w:sz w:val="18"/>
                          <w:szCs w:val="18"/>
                        </w:rPr>
                        <w:t>Failure to report via the Trust incident reporting system</w:t>
                      </w:r>
                    </w:p>
                    <w:p w:rsidR="006927D7" w:rsidRDefault="006927D7" w:rsidP="00453D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1298">
                        <w:rPr>
                          <w:rFonts w:ascii="Arial" w:hAnsi="Arial" w:cs="Arial"/>
                          <w:sz w:val="18"/>
                          <w:szCs w:val="18"/>
                        </w:rPr>
                        <w:t>Manual handling individual assessment</w:t>
                      </w:r>
                    </w:p>
                    <w:p w:rsidR="006927D7" w:rsidRPr="00171298" w:rsidRDefault="006927D7" w:rsidP="00453D0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Equipment failure/maintenance</w:t>
                      </w:r>
                    </w:p>
                    <w:p w:rsidR="006927D7" w:rsidRDefault="006927D7" w:rsidP="00D174B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927D7" w:rsidRDefault="006927D7" w:rsidP="00D174B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927D7" w:rsidRDefault="006927D7" w:rsidP="00D174B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927D7" w:rsidRDefault="006927D7" w:rsidP="00D174B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4F2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2556510" cy="2263140"/>
            <wp:effectExtent l="19050" t="0" r="15240" b="381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93820" w:rsidRDefault="00493820" w:rsidP="00841F29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9864F2" w:rsidRPr="00D047DC" w:rsidRDefault="009864F2" w:rsidP="00841F29">
      <w:pPr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D047DC">
        <w:rPr>
          <w:rFonts w:ascii="Arial" w:hAnsi="Arial" w:cs="Arial"/>
          <w:b/>
          <w:bCs/>
          <w:noProof/>
          <w:sz w:val="20"/>
          <w:szCs w:val="20"/>
        </w:rPr>
        <w:t>Example data</w:t>
      </w:r>
    </w:p>
    <w:p w:rsidR="006927D7" w:rsidRDefault="006927D7" w:rsidP="00841F29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:rsidR="006927D7" w:rsidRPr="009864F2" w:rsidRDefault="006927D7" w:rsidP="00841F29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:rsidR="009864F2" w:rsidRDefault="009864F2" w:rsidP="00841F29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6927D7" w:rsidRDefault="006927D7" w:rsidP="00841F29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6927D7" w:rsidRDefault="006927D7" w:rsidP="00841F29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493820" w:rsidRDefault="006927D7" w:rsidP="00841F29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6927D7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2282190" cy="1981200"/>
            <wp:effectExtent l="19050" t="0" r="22860" b="0"/>
            <wp:docPr id="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C247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41275</wp:posOffset>
                </wp:positionV>
                <wp:extent cx="3576320" cy="3190875"/>
                <wp:effectExtent l="0" t="0" r="2413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Current non-clinical claims are totalled to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with an estimated overall value of £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UHS total maximum liability stands at £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k. </w:t>
                            </w: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 2014/15 we contributed £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 the LTPS scheme and paid out a total (damages and costs) .of £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– UHS liability totalled £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(taking our excesses into account). </w:t>
                            </w: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% of claims 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 were closed with damages in 2014/15. (£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% of claims 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) were closed with a successful denial in 2014/15. </w:t>
                            </w: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We are currently challenging the allegations made in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claims – two where we are alleging contributory negligence. </w:t>
                            </w: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As expected we say a reduction in our LTPS scheme contributions following the introduction of the Ministry of Justice - Claims Portal. </w:t>
                            </w: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 fact in this second year of portal claims our contributions for 2015/16 reduced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% to £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As a Trust we run very slightly above “other” member trust types with regards to non-clinical claim numbers. </w:t>
                            </w:r>
                          </w:p>
                          <w:p w:rsidR="006927D7" w:rsidRPr="00C328F0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927D7" w:rsidRPr="0057156A" w:rsidRDefault="006927D7" w:rsidP="00BB5F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 expected we saw 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xxx%</w:t>
                            </w:r>
                            <w:r w:rsidRPr="00C328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increase in claims activity in 2014/15 fitting with the national picture and likely link with the new claims portal process.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61.6pt;margin-top:3.25pt;width:281.6pt;height:25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1wKwIAAFgEAAAOAAAAZHJzL2Uyb0RvYy54bWysVNuO2yAQfa/Uf0C8N859EyvOapttqkrb&#10;i7TbD8AY26jAUCCx06/vgLNpenup6gcEzHBm5pwZb257rchROC/BFHQyGlMiDIdKmqagn5/2r1aU&#10;+MBMxRQYUdCT8PR2+/LFprO5mEILqhKOIIjxeWcL2oZg8yzzvBWa+RFYYdBYg9Ms4NE1WeVYh+ha&#10;ZdPxeJl14CrrgAvv8fZ+MNJtwq9rwcPHuvYiEFVQzC2k1aW1jGu23bC8ccy2kp/TYP+QhWbSYNAL&#10;1D0LjByc/A1KS+7AQx1GHHQGdS25SDVgNZPxL9U8tsyKVAuS4+2FJv//YPmH4ydHZFXQJSWGaZTo&#10;SfSBvIaeTCM7nfU5Oj1adAs9XqPKqVJvH4B/8cTArmWmEXfOQdcKVmF2k/gyu3o64PgIUnbvocIw&#10;7BAgAfW105E6JIMgOqp0uigTU+F4OVvcLGdTNHG0zSbr8epmkWKw/Pm5dT68FaBJ3BTUofQJnh0f&#10;fIjpsPzZJUbzoGS1l0qlg2vKnXLkyLBN9uk7o//kpgzpCrpeTBcDA3+FGKfvTxBaBux3JXVBVxcn&#10;lkfe3pgqdWNgUg17TFmZM5GRu4HF0Jd9UuyiTwnVCZl1MLQ3jiNuWnDfKOmwtQvqvx6YE5SodwbV&#10;WU/m8zgL6TBf3ERe3bWlvLYwwxGqoIGSYbsLw/wcrJNNi5GGfjBwh4rWMnEdpR+yOqeP7ZskOI9a&#10;nI/rc/L68UPYfgcAAP//AwBQSwMEFAAGAAgAAAAhAMPNjunfAAAACgEAAA8AAABkcnMvZG93bnJl&#10;di54bWxMj8FOwzAQRO9I/IO1SFwQtUnbkIY4FUIC0RsUBFc33iYR9jrYbhr+HvcEx9Ubzbyt1pM1&#10;bEQfekcSbmYCGFLjdE+thPe3x+sCWIiKtDKOUMIPBljX52eVKrU70iuO29iyVEKhVBK6GIeS89B0&#10;aFWYuQEpsb3zVsV0+pZrr46p3BqeCZFzq3pKC50a8KHD5mt7sBKKxfP4GTbzl48m35tVvLodn769&#10;lJcX0/0dsIhT/AvDST+pQ52cdu5AOjAjYZnNsxSVkC+Bnbgo8gWwXSJiJYDXFf//Qv0LAAD//wMA&#10;UEsBAi0AFAAGAAgAAAAhALaDOJL+AAAA4QEAABMAAAAAAAAAAAAAAAAAAAAAAFtDb250ZW50X1R5&#10;cGVzXS54bWxQSwECLQAUAAYACAAAACEAOP0h/9YAAACUAQAACwAAAAAAAAAAAAAAAAAvAQAAX3Jl&#10;bHMvLnJlbHNQSwECLQAUAAYACAAAACEAp519cCsCAABYBAAADgAAAAAAAAAAAAAAAAAuAgAAZHJz&#10;L2Uyb0RvYy54bWxQSwECLQAUAAYACAAAACEAw82O6d8AAAAKAQAADwAAAAAAAAAAAAAAAACFBAAA&#10;ZHJzL2Rvd25yZXYueG1sUEsFBgAAAAAEAAQA8wAAAJEFAAAAAA==&#10;">
                <v:textbox>
                  <w:txbxContent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Current non-clinical claims are totalled to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with an estimated overall value of £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xxxxxx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>. UHS total maximum liability stands at £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k. </w:t>
                      </w: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>In 2014/15 we contributed £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to the LTPS scheme and paid out a total (damages and costs) .of £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– UHS liability totalled £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(taking our excesses into account). </w:t>
                      </w: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>% of claims 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>) were closed with damages in 2014/15. (£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>).</w:t>
                      </w: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>% of claims 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) were closed with a successful denial in 2014/15. </w:t>
                      </w: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We are currently challenging the allegations made in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claims – two where we are alleging contributory negligence. </w:t>
                      </w: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As expected we say a reduction in our LTPS scheme contributions following the introduction of the Ministry of Justice - Claims Portal. </w:t>
                      </w: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 fact in this second year of portal claims our contributions for 2015/16 reduced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>% to £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xxxx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As a Trust we run very slightly above “other” member trust types with regards to non-clinical claim numbers. </w:t>
                      </w:r>
                    </w:p>
                    <w:p w:rsidR="006927D7" w:rsidRPr="00C328F0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927D7" w:rsidRPr="0057156A" w:rsidRDefault="006927D7" w:rsidP="00BB5F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>As expected we saw 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xxx%</w:t>
                      </w:r>
                      <w:r w:rsidRPr="00C328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increase in claims activity in 2014/15 fitting with the national picture and likely link with the new claims portal process.</w:t>
                      </w:r>
                    </w:p>
                  </w:txbxContent>
                </v:textbox>
              </v:shape>
            </w:pict>
          </mc:Fallback>
        </mc:AlternateContent>
      </w:r>
    </w:p>
    <w:p w:rsidR="00493820" w:rsidRDefault="00493820" w:rsidP="00841F29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B250B3" w:rsidRPr="00D047DC" w:rsidRDefault="00365FAF" w:rsidP="00841F29">
      <w:pPr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D047DC">
        <w:rPr>
          <w:rFonts w:ascii="Arial" w:hAnsi="Arial" w:cs="Arial"/>
          <w:b/>
          <w:bCs/>
          <w:noProof/>
          <w:sz w:val="20"/>
          <w:szCs w:val="20"/>
        </w:rPr>
        <w:t>Example data</w:t>
      </w:r>
    </w:p>
    <w:p w:rsidR="00493820" w:rsidRDefault="00493820" w:rsidP="00841F29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365FAF" w:rsidRDefault="00365FAF" w:rsidP="00841F29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365FAF" w:rsidRDefault="00365FAF" w:rsidP="00841F29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365FAF" w:rsidRDefault="00365FAF" w:rsidP="00841F29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365FAF" w:rsidRDefault="00365FAF" w:rsidP="00841F29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6927D7" w:rsidRDefault="006927D7" w:rsidP="00841F29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:rsidR="00DE5D14" w:rsidRPr="00E07F07" w:rsidRDefault="009864F2" w:rsidP="00DE5D14">
      <w:pPr>
        <w:jc w:val="center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lastRenderedPageBreak/>
        <w:t>F</w:t>
      </w:r>
      <w:r w:rsidR="00DE5D14" w:rsidRPr="00E07F07">
        <w:rPr>
          <w:rFonts w:ascii="Arial" w:hAnsi="Arial" w:cs="Arial"/>
          <w:b/>
          <w:bCs/>
          <w:noProof/>
          <w:sz w:val="32"/>
          <w:szCs w:val="32"/>
        </w:rPr>
        <w:t>ocus</w:t>
      </w:r>
      <w:r w:rsidR="00BB4C20" w:rsidRPr="00E07F07">
        <w:rPr>
          <w:rFonts w:ascii="Arial" w:hAnsi="Arial" w:cs="Arial"/>
          <w:b/>
          <w:bCs/>
          <w:noProof/>
          <w:sz w:val="32"/>
          <w:szCs w:val="32"/>
        </w:rPr>
        <w:t xml:space="preserve"> -</w:t>
      </w:r>
      <w:r w:rsidR="00DE5D14" w:rsidRPr="00E07F07">
        <w:rPr>
          <w:rFonts w:ascii="Arial" w:hAnsi="Arial" w:cs="Arial"/>
          <w:b/>
          <w:bCs/>
          <w:noProof/>
          <w:sz w:val="32"/>
          <w:szCs w:val="32"/>
        </w:rPr>
        <w:t xml:space="preserve"> Profile</w:t>
      </w:r>
    </w:p>
    <w:p w:rsidR="00493820" w:rsidRDefault="00934664" w:rsidP="00DE5D14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New </w:t>
      </w:r>
      <w:r w:rsidR="00DE5D14" w:rsidRPr="00391D84">
        <w:rPr>
          <w:rFonts w:ascii="Arial" w:hAnsi="Arial" w:cs="Arial"/>
          <w:b/>
          <w:bCs/>
          <w:noProof/>
          <w:sz w:val="28"/>
          <w:szCs w:val="28"/>
        </w:rPr>
        <w:t xml:space="preserve">Non-clinical </w:t>
      </w:r>
      <w:r w:rsidR="00E07F07">
        <w:rPr>
          <w:rFonts w:ascii="Arial" w:hAnsi="Arial" w:cs="Arial"/>
          <w:b/>
          <w:bCs/>
          <w:noProof/>
          <w:sz w:val="28"/>
          <w:szCs w:val="28"/>
        </w:rPr>
        <w:t xml:space="preserve">claims </w:t>
      </w:r>
      <w:r w:rsidR="00DE5D14" w:rsidRPr="00391D84">
        <w:rPr>
          <w:rFonts w:ascii="Arial" w:hAnsi="Arial" w:cs="Arial"/>
          <w:b/>
          <w:bCs/>
          <w:noProof/>
          <w:sz w:val="28"/>
          <w:szCs w:val="28"/>
        </w:rPr>
        <w:t>12 month period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– 2014/15</w:t>
      </w:r>
    </w:p>
    <w:p w:rsidR="00E07F07" w:rsidRDefault="00E07F07" w:rsidP="00DE5D14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:rsidR="00A54DCF" w:rsidRPr="00391D84" w:rsidRDefault="00A54DCF" w:rsidP="00DE5D14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183380" cy="1661160"/>
            <wp:effectExtent l="19050" t="0" r="2667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54DCF" w:rsidRPr="009864F2" w:rsidRDefault="00365FAF" w:rsidP="00365FAF">
      <w:pPr>
        <w:jc w:val="right"/>
        <w:rPr>
          <w:rFonts w:ascii="Arial" w:hAnsi="Arial" w:cs="Arial"/>
          <w:b/>
          <w:bCs/>
          <w:noProof/>
          <w:sz w:val="22"/>
          <w:szCs w:val="22"/>
        </w:rPr>
      </w:pPr>
      <w:r w:rsidRPr="009864F2">
        <w:rPr>
          <w:rFonts w:ascii="Arial" w:hAnsi="Arial" w:cs="Arial"/>
          <w:b/>
          <w:bCs/>
          <w:noProof/>
          <w:sz w:val="22"/>
          <w:szCs w:val="22"/>
        </w:rPr>
        <w:t>Example data</w:t>
      </w:r>
    </w:p>
    <w:p w:rsidR="0050604E" w:rsidRDefault="0050604E" w:rsidP="00DE5D14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DE5D14" w:rsidRPr="00391D84" w:rsidRDefault="004552E1" w:rsidP="00DE5D14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Claims report outcome </w:t>
      </w:r>
      <w:r w:rsidR="00CB208E" w:rsidRPr="00391D84">
        <w:rPr>
          <w:rFonts w:ascii="Arial" w:hAnsi="Arial" w:cs="Arial"/>
          <w:b/>
          <w:bCs/>
          <w:noProof/>
          <w:sz w:val="28"/>
          <w:szCs w:val="28"/>
        </w:rPr>
        <w:t xml:space="preserve">and </w:t>
      </w:r>
      <w:r>
        <w:rPr>
          <w:rFonts w:ascii="Arial" w:hAnsi="Arial" w:cs="Arial"/>
          <w:b/>
          <w:bCs/>
          <w:noProof/>
          <w:sz w:val="28"/>
          <w:szCs w:val="28"/>
        </w:rPr>
        <w:t>r</w:t>
      </w:r>
      <w:r w:rsidR="00CB208E" w:rsidRPr="00391D84">
        <w:rPr>
          <w:rFonts w:ascii="Arial" w:hAnsi="Arial" w:cs="Arial"/>
          <w:b/>
          <w:bCs/>
          <w:noProof/>
          <w:sz w:val="28"/>
          <w:szCs w:val="28"/>
        </w:rPr>
        <w:t>ecommendations:</w:t>
      </w:r>
    </w:p>
    <w:p w:rsidR="00BA3EF5" w:rsidRDefault="00BA3EF5" w:rsidP="00DE5D14">
      <w:pPr>
        <w:rPr>
          <w:rFonts w:ascii="Arial" w:hAnsi="Arial" w:cs="Arial"/>
          <w:b/>
          <w:bCs/>
          <w:noProof/>
          <w:sz w:val="32"/>
          <w:szCs w:val="32"/>
        </w:rPr>
      </w:pPr>
    </w:p>
    <w:tbl>
      <w:tblPr>
        <w:tblStyle w:val="LightGrid-Accent1"/>
        <w:tblW w:w="11023" w:type="dxa"/>
        <w:tblLook w:val="04A0" w:firstRow="1" w:lastRow="0" w:firstColumn="1" w:lastColumn="0" w:noHBand="0" w:noVBand="1"/>
      </w:tblPr>
      <w:tblGrid>
        <w:gridCol w:w="4077"/>
        <w:gridCol w:w="2268"/>
        <w:gridCol w:w="4678"/>
      </w:tblGrid>
      <w:tr w:rsidR="00CB208E" w:rsidTr="0079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B208E" w:rsidRPr="002F78C5" w:rsidRDefault="002F78C5" w:rsidP="00DE5D14">
            <w:pPr>
              <w:rPr>
                <w:rFonts w:ascii="Arial" w:hAnsi="Arial" w:cs="Arial"/>
                <w:bCs w:val="0"/>
                <w:noProof/>
              </w:rPr>
            </w:pPr>
            <w:r w:rsidRPr="002F78C5">
              <w:rPr>
                <w:rFonts w:ascii="Arial" w:hAnsi="Arial" w:cs="Arial"/>
                <w:bCs w:val="0"/>
                <w:noProof/>
              </w:rPr>
              <w:t>Health &amp; Safety Trustwide</w:t>
            </w:r>
          </w:p>
          <w:p w:rsidR="002F78C5" w:rsidRPr="002F78C5" w:rsidRDefault="002F78C5" w:rsidP="00DE5D14">
            <w:pPr>
              <w:rPr>
                <w:rFonts w:ascii="Arial" w:hAnsi="Arial" w:cs="Arial"/>
                <w:bCs w:val="0"/>
                <w:noProof/>
              </w:rPr>
            </w:pPr>
            <w:r w:rsidRPr="002F78C5">
              <w:rPr>
                <w:rFonts w:ascii="Arial" w:hAnsi="Arial" w:cs="Arial"/>
                <w:bCs w:val="0"/>
                <w:noProof/>
              </w:rPr>
              <w:t>Workstreams</w:t>
            </w:r>
          </w:p>
        </w:tc>
        <w:tc>
          <w:tcPr>
            <w:tcW w:w="2268" w:type="dxa"/>
          </w:tcPr>
          <w:p w:rsidR="00CB208E" w:rsidRPr="002F78C5" w:rsidRDefault="00CB208E" w:rsidP="00DE5D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noProof/>
              </w:rPr>
            </w:pPr>
            <w:r w:rsidRPr="002F78C5">
              <w:rPr>
                <w:rFonts w:ascii="Arial" w:hAnsi="Arial" w:cs="Arial"/>
                <w:bCs w:val="0"/>
                <w:noProof/>
              </w:rPr>
              <w:t>Findings from Claims</w:t>
            </w:r>
          </w:p>
        </w:tc>
        <w:tc>
          <w:tcPr>
            <w:tcW w:w="4678" w:type="dxa"/>
          </w:tcPr>
          <w:p w:rsidR="00CB208E" w:rsidRPr="002F78C5" w:rsidRDefault="00CB208E" w:rsidP="00DE5D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noProof/>
              </w:rPr>
            </w:pPr>
            <w:r w:rsidRPr="002F78C5">
              <w:rPr>
                <w:rFonts w:ascii="Arial" w:hAnsi="Arial" w:cs="Arial"/>
                <w:bCs w:val="0"/>
                <w:noProof/>
              </w:rPr>
              <w:t>Actions/recommendation</w:t>
            </w:r>
          </w:p>
        </w:tc>
      </w:tr>
      <w:tr w:rsidR="00CB208E" w:rsidTr="0079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91D84" w:rsidRPr="00796BC1" w:rsidRDefault="00CB208E" w:rsidP="00391D84">
            <w:pPr>
              <w:jc w:val="both"/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</w:pPr>
            <w:r w:rsidRPr="00796BC1">
              <w:rPr>
                <w:rFonts w:ascii="Arial" w:hAnsi="Arial" w:cs="Arial"/>
                <w:bCs w:val="0"/>
                <w:noProof/>
                <w:sz w:val="16"/>
                <w:szCs w:val="16"/>
              </w:rPr>
              <w:t>Slips, trips and falls</w:t>
            </w:r>
            <w:r w:rsidRPr="00796BC1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 xml:space="preserve"> – </w:t>
            </w:r>
          </w:p>
          <w:p w:rsidR="00391D84" w:rsidRPr="00796BC1" w:rsidRDefault="00391D84" w:rsidP="002F78C5">
            <w:pPr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796BC1">
              <w:rPr>
                <w:rFonts w:ascii="Arial" w:hAnsi="Arial" w:cs="Arial"/>
                <w:b w:val="0"/>
                <w:sz w:val="16"/>
                <w:szCs w:val="16"/>
              </w:rPr>
              <w:t>Continue to raise awareness</w:t>
            </w:r>
          </w:p>
          <w:p w:rsidR="002F78C5" w:rsidRPr="00796BC1" w:rsidRDefault="002F78C5" w:rsidP="002F78C5">
            <w:pPr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391D84" w:rsidRPr="00796BC1" w:rsidRDefault="00391D84" w:rsidP="002F78C5">
            <w:pPr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796BC1">
              <w:rPr>
                <w:rFonts w:ascii="Arial" w:hAnsi="Arial" w:cs="Arial"/>
                <w:b w:val="0"/>
                <w:sz w:val="16"/>
                <w:szCs w:val="16"/>
              </w:rPr>
              <w:t>NHSLA Level 3 audits undertaken in 2012 and 2013 to review the levels of compliance against the requirement to have risk assessments in place</w:t>
            </w:r>
          </w:p>
          <w:p w:rsidR="002F78C5" w:rsidRPr="00796BC1" w:rsidRDefault="002F78C5" w:rsidP="002F78C5">
            <w:pPr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:rsidR="00391D84" w:rsidRPr="00796BC1" w:rsidRDefault="00391D84" w:rsidP="002F78C5">
            <w:pPr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96BC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SL&amp;F are raised at all H&amp;S meetings and forums to raise awareness</w:t>
            </w:r>
          </w:p>
          <w:p w:rsidR="002F78C5" w:rsidRPr="00796BC1" w:rsidRDefault="002F78C5" w:rsidP="002F78C5">
            <w:pPr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:rsidR="00391D84" w:rsidRPr="00796BC1" w:rsidRDefault="00391D84" w:rsidP="002F78C5">
            <w:pPr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96BC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ST&amp;F page with resources is available on the Staffnet</w:t>
            </w:r>
          </w:p>
          <w:p w:rsidR="002F78C5" w:rsidRPr="00796BC1" w:rsidRDefault="002F78C5" w:rsidP="002F78C5">
            <w:pPr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:rsidR="00391D84" w:rsidRPr="00796BC1" w:rsidRDefault="00391D84" w:rsidP="002F78C5">
            <w:pPr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96BC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ST&amp;F generic risk assessment is available on the Staffnet</w:t>
            </w:r>
          </w:p>
          <w:p w:rsidR="00CB208E" w:rsidRPr="00796BC1" w:rsidRDefault="00CB208E" w:rsidP="00DE5D14">
            <w:pPr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:rsidR="00CB208E" w:rsidRPr="00934664" w:rsidRDefault="00CB208E" w:rsidP="0045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34664">
              <w:rPr>
                <w:rFonts w:ascii="Arial" w:eastAsiaTheme="majorEastAsia" w:hAnsi="Arial" w:cs="Arial"/>
                <w:bCs/>
                <w:sz w:val="18"/>
                <w:szCs w:val="18"/>
              </w:rPr>
              <w:t>75% of non-clinical falls relate to substance (water/oil</w:t>
            </w:r>
            <w:r w:rsidR="004552E1" w:rsidRPr="00934664">
              <w:rPr>
                <w:rFonts w:ascii="Arial" w:eastAsiaTheme="majorEastAsia" w:hAnsi="Arial" w:cs="Arial"/>
                <w:bCs/>
                <w:sz w:val="18"/>
                <w:szCs w:val="18"/>
              </w:rPr>
              <w:t>/food/</w:t>
            </w:r>
            <w:r w:rsidRPr="00934664">
              <w:rPr>
                <w:rFonts w:ascii="Arial" w:eastAsiaTheme="majorEastAsia" w:hAnsi="Arial" w:cs="Arial"/>
                <w:bCs/>
                <w:sz w:val="18"/>
                <w:szCs w:val="18"/>
              </w:rPr>
              <w:t>) on floor and mainly in non divisional linked areas, i.e. site</w:t>
            </w:r>
            <w:r w:rsidR="004552E1" w:rsidRPr="00934664">
              <w:rPr>
                <w:rFonts w:ascii="Arial" w:eastAsiaTheme="majorEastAsia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4678" w:type="dxa"/>
          </w:tcPr>
          <w:p w:rsidR="00CB208E" w:rsidRPr="00934664" w:rsidRDefault="00CB208E" w:rsidP="002F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4664">
              <w:rPr>
                <w:rFonts w:ascii="Arial" w:hAnsi="Arial" w:cs="Arial"/>
                <w:sz w:val="20"/>
                <w:szCs w:val="20"/>
              </w:rPr>
              <w:t>Cleaning stations in</w:t>
            </w:r>
            <w:r w:rsidR="00025A8F" w:rsidRPr="00934664">
              <w:rPr>
                <w:rFonts w:ascii="Arial" w:hAnsi="Arial" w:cs="Arial"/>
                <w:sz w:val="20"/>
                <w:szCs w:val="20"/>
              </w:rPr>
              <w:t xml:space="preserve"> “hot spot” </w:t>
            </w:r>
            <w:r w:rsidRPr="00934664">
              <w:rPr>
                <w:rFonts w:ascii="Arial" w:hAnsi="Arial" w:cs="Arial"/>
                <w:sz w:val="20"/>
                <w:szCs w:val="20"/>
              </w:rPr>
              <w:t>areas, i.e. main thorough fair, main l</w:t>
            </w:r>
            <w:r w:rsidR="00025A8F" w:rsidRPr="00934664">
              <w:rPr>
                <w:rFonts w:ascii="Arial" w:hAnsi="Arial" w:cs="Arial"/>
                <w:sz w:val="20"/>
                <w:szCs w:val="20"/>
              </w:rPr>
              <w:t>ink corridors and in lift areas.</w:t>
            </w:r>
          </w:p>
          <w:p w:rsidR="00025A8F" w:rsidRPr="00934664" w:rsidRDefault="00025A8F" w:rsidP="002F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025A8F" w:rsidRPr="00934664" w:rsidRDefault="00025A8F" w:rsidP="002F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4664">
              <w:rPr>
                <w:rFonts w:ascii="Arial" w:hAnsi="Arial" w:cs="Arial"/>
                <w:sz w:val="20"/>
                <w:szCs w:val="20"/>
              </w:rPr>
              <w:t>Re-iterate the importance of reporting incidents like this via the Trust incident reporting e-system.</w:t>
            </w:r>
          </w:p>
          <w:p w:rsidR="00025A8F" w:rsidRPr="004B40EB" w:rsidRDefault="00025A8F" w:rsidP="002F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25A8F" w:rsidRDefault="00025A8F" w:rsidP="002F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B40EB">
              <w:rPr>
                <w:rFonts w:ascii="Arial" w:hAnsi="Arial" w:cs="Arial"/>
                <w:b/>
              </w:rPr>
              <w:t xml:space="preserve">The cost of </w:t>
            </w:r>
            <w:r w:rsidR="004B40EB" w:rsidRPr="004B40EB">
              <w:rPr>
                <w:rFonts w:ascii="Arial" w:hAnsi="Arial" w:cs="Arial"/>
                <w:b/>
              </w:rPr>
              <w:t>(</w:t>
            </w:r>
            <w:r w:rsidR="00A54DCF">
              <w:rPr>
                <w:rFonts w:ascii="Arial" w:hAnsi="Arial" w:cs="Arial"/>
                <w:b/>
              </w:rPr>
              <w:t>X</w:t>
            </w:r>
            <w:r w:rsidR="004B40EB" w:rsidRPr="004B40EB">
              <w:rPr>
                <w:rFonts w:ascii="Arial" w:hAnsi="Arial" w:cs="Arial"/>
                <w:b/>
              </w:rPr>
              <w:t xml:space="preserve">) </w:t>
            </w:r>
            <w:r w:rsidRPr="004B40EB">
              <w:rPr>
                <w:rFonts w:ascii="Arial" w:hAnsi="Arial" w:cs="Arial"/>
                <w:b/>
              </w:rPr>
              <w:t>slip</w:t>
            </w:r>
            <w:r w:rsidR="00934664">
              <w:rPr>
                <w:rFonts w:ascii="Arial" w:hAnsi="Arial" w:cs="Arial"/>
                <w:b/>
              </w:rPr>
              <w:t>/trip</w:t>
            </w:r>
            <w:r w:rsidR="00970207" w:rsidRPr="004B40EB">
              <w:rPr>
                <w:rFonts w:ascii="Arial" w:hAnsi="Arial" w:cs="Arial"/>
                <w:b/>
              </w:rPr>
              <w:t xml:space="preserve"> claims</w:t>
            </w:r>
            <w:r w:rsidR="00F27463" w:rsidRPr="004B40EB">
              <w:rPr>
                <w:rFonts w:ascii="Arial" w:hAnsi="Arial" w:cs="Arial"/>
                <w:b/>
              </w:rPr>
              <w:t xml:space="preserve"> paid</w:t>
            </w:r>
            <w:r w:rsidR="00970207" w:rsidRPr="004B40EB">
              <w:rPr>
                <w:rFonts w:ascii="Arial" w:hAnsi="Arial" w:cs="Arial"/>
                <w:b/>
              </w:rPr>
              <w:t xml:space="preserve"> </w:t>
            </w:r>
            <w:r w:rsidRPr="004B40EB">
              <w:rPr>
                <w:rFonts w:ascii="Arial" w:hAnsi="Arial" w:cs="Arial"/>
                <w:b/>
              </w:rPr>
              <w:t>last year amounted to £</w:t>
            </w:r>
            <w:r w:rsidR="00A54DCF">
              <w:rPr>
                <w:rFonts w:ascii="Arial" w:hAnsi="Arial" w:cs="Arial"/>
                <w:b/>
              </w:rPr>
              <w:t>XXX</w:t>
            </w:r>
            <w:r w:rsidR="00F27463" w:rsidRPr="004B40EB">
              <w:rPr>
                <w:rFonts w:ascii="Arial" w:hAnsi="Arial" w:cs="Arial"/>
                <w:b/>
              </w:rPr>
              <w:t>,</w:t>
            </w:r>
            <w:r w:rsidR="00A54DCF">
              <w:rPr>
                <w:rFonts w:ascii="Arial" w:hAnsi="Arial" w:cs="Arial"/>
                <w:b/>
              </w:rPr>
              <w:t>XXX</w:t>
            </w:r>
            <w:r w:rsidR="00F27463" w:rsidRPr="004B40EB">
              <w:rPr>
                <w:rFonts w:ascii="Arial" w:hAnsi="Arial" w:cs="Arial"/>
                <w:b/>
              </w:rPr>
              <w:t xml:space="preserve">. </w:t>
            </w:r>
          </w:p>
          <w:p w:rsidR="0033781C" w:rsidRDefault="0033781C" w:rsidP="002F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33781C" w:rsidRPr="004B40EB" w:rsidRDefault="0033781C" w:rsidP="002F7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  <w:r w:rsidR="00A54DCF">
              <w:rPr>
                <w:rFonts w:ascii="Arial" w:hAnsi="Arial" w:cs="Arial"/>
                <w:b/>
              </w:rPr>
              <w:t>XX</w:t>
            </w:r>
            <w:r>
              <w:rPr>
                <w:rFonts w:ascii="Arial" w:hAnsi="Arial" w:cs="Arial"/>
                <w:b/>
              </w:rPr>
              <w:t>k came direct from the Trust the remainder paid by the NHSLA.</w:t>
            </w:r>
          </w:p>
          <w:p w:rsidR="00CB208E" w:rsidRPr="00796BC1" w:rsidRDefault="00CB208E" w:rsidP="00DE5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</w:tr>
      <w:tr w:rsidR="00CB208E" w:rsidTr="00796B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B208E" w:rsidRPr="00796BC1" w:rsidRDefault="00CB208E" w:rsidP="00DE5D14">
            <w:pPr>
              <w:rPr>
                <w:rFonts w:ascii="Arial" w:hAnsi="Arial" w:cs="Arial"/>
                <w:bCs w:val="0"/>
                <w:noProof/>
                <w:sz w:val="16"/>
                <w:szCs w:val="16"/>
              </w:rPr>
            </w:pPr>
            <w:r w:rsidRPr="00796BC1">
              <w:rPr>
                <w:rFonts w:ascii="Arial" w:hAnsi="Arial" w:cs="Arial"/>
                <w:bCs w:val="0"/>
                <w:noProof/>
                <w:sz w:val="16"/>
                <w:szCs w:val="16"/>
              </w:rPr>
              <w:t xml:space="preserve">NSI – </w:t>
            </w:r>
          </w:p>
          <w:p w:rsidR="00391D84" w:rsidRPr="00796BC1" w:rsidRDefault="00391D84" w:rsidP="002F78C5">
            <w:pPr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96BC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Reiterate to all staff the need to be vigilant and adhere to Trust policy when disposing of sharps </w:t>
            </w:r>
          </w:p>
          <w:p w:rsidR="00391D84" w:rsidRPr="00796BC1" w:rsidRDefault="00391D84" w:rsidP="002F78C5">
            <w:pPr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96BC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Review of individual practices when disposing of sharps where poor practice is identified</w:t>
            </w:r>
          </w:p>
          <w:p w:rsidR="00391D84" w:rsidRPr="00796BC1" w:rsidRDefault="00391D84" w:rsidP="002F78C5">
            <w:pPr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96BC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Reiterate to third party contractors the need to be vigilant </w:t>
            </w:r>
          </w:p>
          <w:p w:rsidR="00391D84" w:rsidRPr="00796BC1" w:rsidRDefault="00391D84" w:rsidP="002F78C5">
            <w:pPr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96BC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H&amp;S to consider with third  party contractors current practices and education regarding collection of and handling of rubbish/clinical waste bags</w:t>
            </w:r>
          </w:p>
          <w:p w:rsidR="00391D84" w:rsidRPr="00796BC1" w:rsidRDefault="00391D84" w:rsidP="002F78C5">
            <w:pPr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96BC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Remind ALL staff (including contractors) of the requirement to report such incidents in accordance with Trust Incident Reporting policy</w:t>
            </w:r>
          </w:p>
          <w:p w:rsidR="00391D84" w:rsidRPr="00796BC1" w:rsidRDefault="00391D84" w:rsidP="00391D84">
            <w:pPr>
              <w:ind w:left="360"/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:rsidR="00CB208E" w:rsidRPr="00796BC1" w:rsidRDefault="00391D84" w:rsidP="002F78C5">
            <w:pPr>
              <w:rPr>
                <w:rFonts w:ascii="Arial" w:hAnsi="Arial" w:cs="Arial"/>
                <w:b w:val="0"/>
                <w:noProof/>
                <w:sz w:val="16"/>
                <w:szCs w:val="16"/>
              </w:rPr>
            </w:pPr>
            <w:r w:rsidRPr="00796BC1">
              <w:rPr>
                <w:rFonts w:ascii="Arial" w:hAnsi="Arial" w:cs="Arial"/>
                <w:b w:val="0"/>
                <w:sz w:val="16"/>
                <w:szCs w:val="16"/>
              </w:rPr>
              <w:t>The introduction of safer sharps forms part of the health and Safety (Sharp Instruments in Healthcare) Regulations 2013.</w:t>
            </w:r>
          </w:p>
          <w:p w:rsidR="00CB208E" w:rsidRPr="00796BC1" w:rsidRDefault="00CB208E" w:rsidP="00DE5D14">
            <w:pPr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:rsidR="00CB208E" w:rsidRPr="00934664" w:rsidRDefault="00025A8F" w:rsidP="00CA73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100% of NSI injury claims </w:t>
            </w:r>
            <w:r w:rsidR="00CB208E"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that </w:t>
            </w:r>
            <w:r w:rsidR="00CA73CF"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>were</w:t>
            </w:r>
            <w:r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made</w:t>
            </w:r>
            <w:r w:rsidR="00CA73CF"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in 2014/15 occurred due to incorrect disposal </w:t>
            </w:r>
            <w:r w:rsidR="00E03962"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- </w:t>
            </w:r>
            <w:r w:rsidR="00CA73CF"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affecting </w:t>
            </w:r>
            <w:r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="00CB208E"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>contract</w:t>
            </w:r>
            <w:r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or </w:t>
            </w:r>
            <w:r w:rsidR="00CB208E"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or </w:t>
            </w:r>
            <w:r w:rsidR="00E03962"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="00CB208E"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waste management </w:t>
            </w:r>
            <w:r w:rsidR="00CA73CF"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>staff resultant from disposal of sharps into waste bags or laundry bags</w:t>
            </w:r>
            <w:r w:rsidR="00CA73CF" w:rsidRPr="00934664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4552E1" w:rsidRPr="00934664" w:rsidRDefault="00025A8F" w:rsidP="002F78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34664">
              <w:rPr>
                <w:rFonts w:ascii="Arial" w:hAnsi="Arial" w:cs="Arial"/>
                <w:bCs/>
                <w:noProof/>
                <w:sz w:val="20"/>
                <w:szCs w:val="20"/>
              </w:rPr>
              <w:t>Reiterate to staff the importance of ensuring correct</w:t>
            </w:r>
            <w:r w:rsidR="00CA73CF" w:rsidRPr="0093466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and careful </w:t>
            </w:r>
            <w:r w:rsidRPr="0093466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disposal. </w:t>
            </w:r>
          </w:p>
          <w:p w:rsidR="004552E1" w:rsidRPr="00796BC1" w:rsidRDefault="004552E1" w:rsidP="002F78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:rsidR="00CB208E" w:rsidRDefault="00025A8F" w:rsidP="00F274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</w:rPr>
            </w:pPr>
            <w:r w:rsidRPr="004B40EB">
              <w:rPr>
                <w:rFonts w:ascii="Arial" w:hAnsi="Arial" w:cs="Arial"/>
                <w:b/>
                <w:bCs/>
                <w:noProof/>
              </w:rPr>
              <w:t xml:space="preserve">The cost of </w:t>
            </w:r>
            <w:r w:rsidR="004B40EB" w:rsidRPr="004B40EB">
              <w:rPr>
                <w:rFonts w:ascii="Arial" w:hAnsi="Arial" w:cs="Arial"/>
                <w:b/>
                <w:bCs/>
                <w:noProof/>
              </w:rPr>
              <w:t>(</w:t>
            </w:r>
            <w:r w:rsidR="00A54DCF">
              <w:rPr>
                <w:rFonts w:ascii="Arial" w:hAnsi="Arial" w:cs="Arial"/>
                <w:b/>
                <w:bCs/>
                <w:noProof/>
              </w:rPr>
              <w:t>X</w:t>
            </w:r>
            <w:r w:rsidR="004B40EB" w:rsidRPr="004B40EB">
              <w:rPr>
                <w:rFonts w:ascii="Arial" w:hAnsi="Arial" w:cs="Arial"/>
                <w:b/>
                <w:bCs/>
                <w:noProof/>
              </w:rPr>
              <w:t xml:space="preserve">) </w:t>
            </w:r>
            <w:r w:rsidRPr="004B40EB">
              <w:rPr>
                <w:rFonts w:ascii="Arial" w:hAnsi="Arial" w:cs="Arial"/>
                <w:b/>
                <w:bCs/>
                <w:noProof/>
              </w:rPr>
              <w:t>needlestick injuries</w:t>
            </w:r>
            <w:r w:rsidR="00F27463" w:rsidRPr="004B40EB">
              <w:rPr>
                <w:rFonts w:ascii="Arial" w:hAnsi="Arial" w:cs="Arial"/>
                <w:b/>
                <w:bCs/>
                <w:noProof/>
              </w:rPr>
              <w:t xml:space="preserve"> paid</w:t>
            </w:r>
            <w:r w:rsidRPr="004B40EB">
              <w:rPr>
                <w:rFonts w:ascii="Arial" w:hAnsi="Arial" w:cs="Arial"/>
                <w:b/>
                <w:bCs/>
                <w:noProof/>
              </w:rPr>
              <w:t xml:space="preserve"> last  year amounted to £</w:t>
            </w:r>
            <w:r w:rsidR="00A54DCF">
              <w:rPr>
                <w:rFonts w:ascii="Arial" w:hAnsi="Arial" w:cs="Arial"/>
                <w:b/>
                <w:bCs/>
                <w:noProof/>
              </w:rPr>
              <w:t>XX</w:t>
            </w:r>
            <w:r w:rsidR="00F27463" w:rsidRPr="004B40EB">
              <w:rPr>
                <w:rFonts w:ascii="Arial" w:hAnsi="Arial" w:cs="Arial"/>
                <w:b/>
                <w:bCs/>
                <w:noProof/>
              </w:rPr>
              <w:t>,</w:t>
            </w:r>
            <w:r w:rsidR="00A54DCF">
              <w:rPr>
                <w:rFonts w:ascii="Arial" w:hAnsi="Arial" w:cs="Arial"/>
                <w:b/>
                <w:bCs/>
                <w:noProof/>
              </w:rPr>
              <w:t>XXX</w:t>
            </w:r>
            <w:r w:rsidR="00F27463" w:rsidRPr="004B40EB">
              <w:rPr>
                <w:rFonts w:ascii="Arial" w:hAnsi="Arial" w:cs="Arial"/>
                <w:b/>
                <w:bCs/>
                <w:noProof/>
              </w:rPr>
              <w:t>.</w:t>
            </w:r>
          </w:p>
          <w:p w:rsidR="0033781C" w:rsidRDefault="0033781C" w:rsidP="00F274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</w:rPr>
            </w:pPr>
          </w:p>
          <w:p w:rsidR="0033781C" w:rsidRPr="004B40EB" w:rsidRDefault="0033781C" w:rsidP="00A54D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£</w:t>
            </w:r>
            <w:r w:rsidR="00A54DCF">
              <w:rPr>
                <w:rFonts w:ascii="Arial" w:hAnsi="Arial" w:cs="Arial"/>
                <w:b/>
                <w:bCs/>
                <w:noProof/>
              </w:rPr>
              <w:t>XX</w:t>
            </w:r>
            <w:r>
              <w:rPr>
                <w:rFonts w:ascii="Arial" w:hAnsi="Arial" w:cs="Arial"/>
                <w:b/>
                <w:bCs/>
                <w:noProof/>
              </w:rPr>
              <w:t>k came direct from the Trust the remainder paid by the NHSLA.</w:t>
            </w:r>
          </w:p>
        </w:tc>
      </w:tr>
      <w:tr w:rsidR="00CB208E" w:rsidTr="00C05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B208E" w:rsidRDefault="00CB208E" w:rsidP="00DE5D14">
            <w:pPr>
              <w:rPr>
                <w:rFonts w:ascii="Arial" w:hAnsi="Arial" w:cs="Arial"/>
                <w:bCs w:val="0"/>
                <w:noProof/>
                <w:sz w:val="16"/>
                <w:szCs w:val="16"/>
              </w:rPr>
            </w:pPr>
            <w:r w:rsidRPr="007E737E">
              <w:rPr>
                <w:rFonts w:ascii="Arial" w:hAnsi="Arial" w:cs="Arial"/>
                <w:bCs w:val="0"/>
                <w:noProof/>
                <w:sz w:val="16"/>
                <w:szCs w:val="16"/>
              </w:rPr>
              <w:t>Manual Handling</w:t>
            </w:r>
          </w:p>
          <w:p w:rsidR="00CA73CF" w:rsidRPr="005D2839" w:rsidRDefault="00F71C45" w:rsidP="00DE5D14">
            <w:pPr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</w:pPr>
            <w:r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2015 MEP</w:t>
            </w:r>
            <w:r w:rsidRPr="005D2839">
              <w:rPr>
                <w:rFonts w:ascii="Arial" w:hAnsi="Arial" w:cs="Arial"/>
                <w:bCs w:val="0"/>
                <w:noProof/>
                <w:sz w:val="16"/>
                <w:szCs w:val="16"/>
              </w:rPr>
              <w:t xml:space="preserve"> </w:t>
            </w:r>
            <w:r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m</w:t>
            </w:r>
            <w:r w:rsidR="00CA73CF"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 xml:space="preserve">onies put aside to update all high risk </w:t>
            </w:r>
            <w:r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 xml:space="preserve"> patient mobile hoists  </w:t>
            </w:r>
            <w:r w:rsidR="00CA73CF"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&gt; 10 years old.</w:t>
            </w:r>
          </w:p>
          <w:p w:rsidR="00CA73CF" w:rsidRPr="005D2839" w:rsidRDefault="00CA73CF" w:rsidP="00DE5D14">
            <w:pPr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</w:pPr>
          </w:p>
          <w:p w:rsidR="00CA73CF" w:rsidRPr="005D2839" w:rsidRDefault="00F71C45" w:rsidP="00DE5D14">
            <w:pPr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</w:pPr>
            <w:r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Divisions are requested to nominate appropriate Care Group Moving and Handling L</w:t>
            </w:r>
            <w:r w:rsidR="00CA73CF"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eads</w:t>
            </w:r>
            <w:r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 xml:space="preserve"> and Departmental Moving and Handling Link Co-ordinators with protected time to assist with </w:t>
            </w:r>
            <w:r w:rsidR="00A84544"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 xml:space="preserve">staff awareness and </w:t>
            </w:r>
            <w:r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 xml:space="preserve">training </w:t>
            </w:r>
            <w:r w:rsidR="00A84544" w:rsidRPr="005D283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using  </w:t>
            </w:r>
            <w:r w:rsidRPr="005D283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resources as available on the Staffnet</w:t>
            </w:r>
          </w:p>
          <w:p w:rsidR="00CA73CF" w:rsidRPr="005D2839" w:rsidRDefault="00CA73CF" w:rsidP="00DE5D14">
            <w:pPr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</w:pPr>
          </w:p>
          <w:p w:rsidR="00CB208E" w:rsidRPr="00CB208E" w:rsidRDefault="00CA73CF" w:rsidP="00BF2A90">
            <w:pPr>
              <w:rPr>
                <w:rFonts w:ascii="Arial" w:hAnsi="Arial" w:cs="Arial"/>
                <w:b w:val="0"/>
                <w:bCs w:val="0"/>
                <w:noProof/>
              </w:rPr>
            </w:pPr>
            <w:r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 xml:space="preserve">Divisions are asked to ensure appropriate MH aids are provided  and </w:t>
            </w:r>
            <w:r w:rsidR="00F71C45"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 xml:space="preserve">that </w:t>
            </w:r>
            <w:r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 xml:space="preserve">all MH risks </w:t>
            </w:r>
            <w:r w:rsidR="00970207" w:rsidRPr="005D2839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</w:rPr>
              <w:t>and safe systems of work are identified and reviewed particularly where there has been an incident.</w:t>
            </w:r>
          </w:p>
        </w:tc>
        <w:tc>
          <w:tcPr>
            <w:tcW w:w="2268" w:type="dxa"/>
          </w:tcPr>
          <w:p w:rsidR="00CB208E" w:rsidRPr="00934664" w:rsidRDefault="00365FAF" w:rsidP="00DE5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X </w:t>
            </w:r>
            <w:r w:rsidR="001859E9" w:rsidRPr="00934664">
              <w:rPr>
                <w:rFonts w:ascii="Arial" w:hAnsi="Arial" w:cs="Arial"/>
                <w:bCs/>
                <w:noProof/>
                <w:sz w:val="18"/>
                <w:szCs w:val="18"/>
              </w:rPr>
              <w:t>claims in 2014/15 linked with one specific area.</w:t>
            </w:r>
          </w:p>
          <w:p w:rsidR="001859E9" w:rsidRDefault="001859E9" w:rsidP="00DE5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:rsidR="001859E9" w:rsidRPr="001859E9" w:rsidRDefault="001859E9" w:rsidP="00DE5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4678" w:type="dxa"/>
          </w:tcPr>
          <w:p w:rsidR="00761CFC" w:rsidRDefault="001859E9" w:rsidP="00DE5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34664">
              <w:rPr>
                <w:rFonts w:ascii="Arial" w:hAnsi="Arial" w:cs="Arial"/>
                <w:bCs/>
                <w:noProof/>
                <w:sz w:val="20"/>
                <w:szCs w:val="20"/>
              </w:rPr>
              <w:t>Remind staff they have a duty to protect themselves as well as following Trust policy</w:t>
            </w:r>
            <w:r w:rsidR="00761CF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particularly with regards to manual handling.</w:t>
            </w:r>
            <w:r w:rsidRPr="00934664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  <w:p w:rsidR="00761CFC" w:rsidRDefault="00761CFC" w:rsidP="00DE5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CB208E" w:rsidRPr="00934664" w:rsidRDefault="00761CFC" w:rsidP="00DE5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Remind staff  to report incidents in a timely fashion.</w:t>
            </w:r>
            <w:r w:rsidR="001859E9" w:rsidRPr="0093466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  <w:p w:rsidR="00970207" w:rsidRPr="00934664" w:rsidRDefault="00970207" w:rsidP="00DE5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970207" w:rsidRDefault="00970207" w:rsidP="00DE5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34664">
              <w:rPr>
                <w:rFonts w:ascii="Arial" w:hAnsi="Arial" w:cs="Arial"/>
                <w:bCs/>
                <w:noProof/>
                <w:sz w:val="20"/>
                <w:szCs w:val="20"/>
              </w:rPr>
              <w:t>Focused training for specific areas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.</w:t>
            </w:r>
          </w:p>
          <w:p w:rsidR="00CA73CF" w:rsidRDefault="00CA73CF" w:rsidP="00DE5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:rsidR="00CA73CF" w:rsidRDefault="00CA73CF" w:rsidP="00DE5D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:rsidR="00CA73CF" w:rsidRPr="00CA73CF" w:rsidRDefault="004B40EB" w:rsidP="00BF2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4B40EB">
              <w:rPr>
                <w:rFonts w:ascii="Arial" w:hAnsi="Arial" w:cs="Arial"/>
                <w:b/>
                <w:bCs/>
                <w:noProof/>
              </w:rPr>
              <w:t>There were no MH claims settled last year</w:t>
            </w:r>
            <w:r>
              <w:rPr>
                <w:rFonts w:ascii="Arial" w:hAnsi="Arial" w:cs="Arial"/>
                <w:b/>
                <w:bCs/>
                <w:noProof/>
              </w:rPr>
              <w:t>.</w:t>
            </w:r>
          </w:p>
        </w:tc>
      </w:tr>
    </w:tbl>
    <w:p w:rsidR="00BA3EF5" w:rsidRDefault="00BA3EF5" w:rsidP="00D047DC">
      <w:pPr>
        <w:rPr>
          <w:rFonts w:ascii="Arial" w:hAnsi="Arial" w:cs="Arial"/>
          <w:b/>
          <w:bCs/>
          <w:noProof/>
          <w:sz w:val="32"/>
          <w:szCs w:val="32"/>
        </w:rPr>
      </w:pPr>
    </w:p>
    <w:sectPr w:rsidR="00BA3EF5" w:rsidSect="004552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FC" w:rsidRDefault="002928FC">
      <w:r>
        <w:separator/>
      </w:r>
    </w:p>
  </w:endnote>
  <w:endnote w:type="continuationSeparator" w:id="0">
    <w:p w:rsidR="002928FC" w:rsidRDefault="0029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D7" w:rsidRDefault="006927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927D7" w:rsidRDefault="006927D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D7" w:rsidRDefault="006927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6DEA">
      <w:rPr>
        <w:rStyle w:val="PageNumber"/>
        <w:noProof/>
      </w:rPr>
      <w:t>1</w:t>
    </w:r>
    <w:r>
      <w:rPr>
        <w:rStyle w:val="PageNumber"/>
      </w:rPr>
      <w:fldChar w:fldCharType="end"/>
    </w:r>
  </w:p>
  <w:p w:rsidR="006927D7" w:rsidRPr="00934664" w:rsidRDefault="006927D7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University Hospitals Southampton NHS Foundation Trust </w:t>
    </w:r>
    <w:r w:rsidRPr="00934664">
      <w:rPr>
        <w:rFonts w:ascii="Arial" w:hAnsi="Arial" w:cs="Arial"/>
        <w:sz w:val="18"/>
        <w:szCs w:val="18"/>
      </w:rPr>
      <w:t xml:space="preserve">Litigation </w:t>
    </w:r>
    <w:r>
      <w:rPr>
        <w:rFonts w:ascii="Arial" w:hAnsi="Arial" w:cs="Arial"/>
        <w:sz w:val="18"/>
        <w:szCs w:val="18"/>
      </w:rPr>
      <w:t>Specialist</w:t>
    </w:r>
    <w:r w:rsidRPr="00934664">
      <w:rPr>
        <w:rFonts w:ascii="Arial" w:hAnsi="Arial" w:cs="Arial"/>
        <w:sz w:val="18"/>
        <w:szCs w:val="18"/>
      </w:rPr>
      <w:t xml:space="preserve"> Report to Health &amp; Safety </w:t>
    </w:r>
    <w:r>
      <w:rPr>
        <w:rFonts w:ascii="Arial" w:hAnsi="Arial" w:cs="Arial"/>
        <w:sz w:val="18"/>
        <w:szCs w:val="18"/>
      </w:rPr>
      <w:t>Commit</w:t>
    </w:r>
    <w:r w:rsidR="0050604E">
      <w:rPr>
        <w:rFonts w:ascii="Arial" w:hAnsi="Arial" w:cs="Arial"/>
        <w:sz w:val="18"/>
        <w:szCs w:val="18"/>
      </w:rPr>
      <w:t>t</w:t>
    </w:r>
    <w:r>
      <w:rPr>
        <w:rFonts w:ascii="Arial" w:hAnsi="Arial" w:cs="Arial"/>
        <w:sz w:val="18"/>
        <w:szCs w:val="18"/>
      </w:rPr>
      <w:t>ee TEMPLATE EXAMPLE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FC" w:rsidRDefault="002928FC">
      <w:r>
        <w:separator/>
      </w:r>
    </w:p>
  </w:footnote>
  <w:footnote w:type="continuationSeparator" w:id="0">
    <w:p w:rsidR="002928FC" w:rsidRDefault="00292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DC" w:rsidRDefault="002D6DE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3424" o:spid="_x0000_s2050" type="#_x0000_t136" style="position:absolute;margin-left:0;margin-top:0;width:663.95pt;height:73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DC" w:rsidRDefault="002D6DE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3425" o:spid="_x0000_s2051" type="#_x0000_t136" style="position:absolute;margin-left:0;margin-top:0;width:689.2pt;height:73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DC" w:rsidRDefault="002D6DE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3423" o:spid="_x0000_s2049" type="#_x0000_t136" style="position:absolute;margin-left:0;margin-top:0;width:663.95pt;height:73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23E"/>
    <w:multiLevelType w:val="hybridMultilevel"/>
    <w:tmpl w:val="5F68AB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42F4"/>
    <w:multiLevelType w:val="hybridMultilevel"/>
    <w:tmpl w:val="81AAD2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CF43A4"/>
    <w:multiLevelType w:val="hybridMultilevel"/>
    <w:tmpl w:val="E1BEDFA0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0D570D1"/>
    <w:multiLevelType w:val="hybridMultilevel"/>
    <w:tmpl w:val="C0DAEC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E823B5"/>
    <w:multiLevelType w:val="hybridMultilevel"/>
    <w:tmpl w:val="22DCD5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AE500C"/>
    <w:multiLevelType w:val="hybridMultilevel"/>
    <w:tmpl w:val="6A6AC3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3233B"/>
    <w:multiLevelType w:val="hybridMultilevel"/>
    <w:tmpl w:val="79005C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81783B"/>
    <w:multiLevelType w:val="hybridMultilevel"/>
    <w:tmpl w:val="7DBAE3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66F60"/>
    <w:multiLevelType w:val="hybridMultilevel"/>
    <w:tmpl w:val="11040F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4A7D7F"/>
    <w:multiLevelType w:val="hybridMultilevel"/>
    <w:tmpl w:val="7C5AE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CA5"/>
    <w:multiLevelType w:val="hybridMultilevel"/>
    <w:tmpl w:val="BBEA9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F27FC"/>
    <w:multiLevelType w:val="hybridMultilevel"/>
    <w:tmpl w:val="3E0A942A"/>
    <w:lvl w:ilvl="0" w:tplc="B7F4B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D2CD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2C3A0E"/>
    <w:multiLevelType w:val="hybridMultilevel"/>
    <w:tmpl w:val="CE7619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792BB9"/>
    <w:multiLevelType w:val="hybridMultilevel"/>
    <w:tmpl w:val="5ACA58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AE1FED"/>
    <w:multiLevelType w:val="hybridMultilevel"/>
    <w:tmpl w:val="67801C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EC27B2"/>
    <w:multiLevelType w:val="multilevel"/>
    <w:tmpl w:val="AC60757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8"/>
        </w:tabs>
        <w:ind w:left="57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98"/>
        </w:tabs>
        <w:ind w:left="129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58"/>
        </w:tabs>
        <w:ind w:left="165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78"/>
        </w:tabs>
        <w:ind w:left="237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38"/>
        </w:tabs>
        <w:ind w:left="273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58"/>
        </w:tabs>
        <w:ind w:left="34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18"/>
        </w:tabs>
        <w:ind w:left="38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38"/>
        </w:tabs>
        <w:ind w:left="4538" w:hanging="1800"/>
      </w:pPr>
      <w:rPr>
        <w:rFonts w:cs="Times New Roman" w:hint="default"/>
      </w:rPr>
    </w:lvl>
  </w:abstractNum>
  <w:abstractNum w:abstractNumId="16">
    <w:nsid w:val="756D37C7"/>
    <w:multiLevelType w:val="hybridMultilevel"/>
    <w:tmpl w:val="EE8C30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9406FE"/>
    <w:multiLevelType w:val="hybridMultilevel"/>
    <w:tmpl w:val="E62A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4"/>
  </w:num>
  <w:num w:numId="5">
    <w:abstractNumId w:val="2"/>
  </w:num>
  <w:num w:numId="6">
    <w:abstractNumId w:val="1"/>
  </w:num>
  <w:num w:numId="7">
    <w:abstractNumId w:val="13"/>
  </w:num>
  <w:num w:numId="8">
    <w:abstractNumId w:val="5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0"/>
  </w:num>
  <w:num w:numId="14">
    <w:abstractNumId w:val="16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99"/>
  <w:displayHorizont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29"/>
    <w:rsid w:val="00007AAC"/>
    <w:rsid w:val="00016801"/>
    <w:rsid w:val="00016B10"/>
    <w:rsid w:val="00024524"/>
    <w:rsid w:val="00025A8F"/>
    <w:rsid w:val="0004268C"/>
    <w:rsid w:val="0006341C"/>
    <w:rsid w:val="00064E38"/>
    <w:rsid w:val="000C48DC"/>
    <w:rsid w:val="000C763E"/>
    <w:rsid w:val="000E34ED"/>
    <w:rsid w:val="00101415"/>
    <w:rsid w:val="00110E4F"/>
    <w:rsid w:val="001217AA"/>
    <w:rsid w:val="0012415A"/>
    <w:rsid w:val="001401C9"/>
    <w:rsid w:val="001452C6"/>
    <w:rsid w:val="001560FD"/>
    <w:rsid w:val="00165F0D"/>
    <w:rsid w:val="00167A38"/>
    <w:rsid w:val="00171298"/>
    <w:rsid w:val="00174EB9"/>
    <w:rsid w:val="00175629"/>
    <w:rsid w:val="001859E9"/>
    <w:rsid w:val="00191CD7"/>
    <w:rsid w:val="001B655A"/>
    <w:rsid w:val="001C4C59"/>
    <w:rsid w:val="001E2E7D"/>
    <w:rsid w:val="001F39F6"/>
    <w:rsid w:val="001F434B"/>
    <w:rsid w:val="00204D33"/>
    <w:rsid w:val="00211A4B"/>
    <w:rsid w:val="00257791"/>
    <w:rsid w:val="0027579A"/>
    <w:rsid w:val="002928FC"/>
    <w:rsid w:val="00296F42"/>
    <w:rsid w:val="002D6DEA"/>
    <w:rsid w:val="002E07E9"/>
    <w:rsid w:val="002E5298"/>
    <w:rsid w:val="002F78C5"/>
    <w:rsid w:val="00302FDC"/>
    <w:rsid w:val="003171D3"/>
    <w:rsid w:val="0033781C"/>
    <w:rsid w:val="00337DDB"/>
    <w:rsid w:val="003574AB"/>
    <w:rsid w:val="00365FAF"/>
    <w:rsid w:val="00371E4C"/>
    <w:rsid w:val="00387172"/>
    <w:rsid w:val="00391D84"/>
    <w:rsid w:val="00394BE8"/>
    <w:rsid w:val="003B51BE"/>
    <w:rsid w:val="003C4724"/>
    <w:rsid w:val="003C7153"/>
    <w:rsid w:val="003F1032"/>
    <w:rsid w:val="003F5640"/>
    <w:rsid w:val="003F6581"/>
    <w:rsid w:val="00417B1F"/>
    <w:rsid w:val="0042287D"/>
    <w:rsid w:val="00446D6B"/>
    <w:rsid w:val="00453D01"/>
    <w:rsid w:val="00453E1B"/>
    <w:rsid w:val="004552E1"/>
    <w:rsid w:val="0046006B"/>
    <w:rsid w:val="00462857"/>
    <w:rsid w:val="0048009D"/>
    <w:rsid w:val="00493820"/>
    <w:rsid w:val="004A609A"/>
    <w:rsid w:val="004B40EB"/>
    <w:rsid w:val="004C3C2F"/>
    <w:rsid w:val="004F465D"/>
    <w:rsid w:val="005056EA"/>
    <w:rsid w:val="0050604E"/>
    <w:rsid w:val="005168D5"/>
    <w:rsid w:val="00526515"/>
    <w:rsid w:val="00530B3C"/>
    <w:rsid w:val="00536B4F"/>
    <w:rsid w:val="0054300A"/>
    <w:rsid w:val="0057156A"/>
    <w:rsid w:val="005778C1"/>
    <w:rsid w:val="0059081D"/>
    <w:rsid w:val="00592300"/>
    <w:rsid w:val="005B75A1"/>
    <w:rsid w:val="005D2218"/>
    <w:rsid w:val="005D2839"/>
    <w:rsid w:val="005F1175"/>
    <w:rsid w:val="005F5A78"/>
    <w:rsid w:val="005F6219"/>
    <w:rsid w:val="005F6311"/>
    <w:rsid w:val="00630D8A"/>
    <w:rsid w:val="00631F27"/>
    <w:rsid w:val="00636A4F"/>
    <w:rsid w:val="0065154F"/>
    <w:rsid w:val="006927D7"/>
    <w:rsid w:val="006E2691"/>
    <w:rsid w:val="006E2D81"/>
    <w:rsid w:val="006F4632"/>
    <w:rsid w:val="007018D6"/>
    <w:rsid w:val="007076B4"/>
    <w:rsid w:val="00707F30"/>
    <w:rsid w:val="007121C0"/>
    <w:rsid w:val="00715F53"/>
    <w:rsid w:val="00717E02"/>
    <w:rsid w:val="00725510"/>
    <w:rsid w:val="00742491"/>
    <w:rsid w:val="00761CFC"/>
    <w:rsid w:val="00764F42"/>
    <w:rsid w:val="00790AE7"/>
    <w:rsid w:val="00796BC1"/>
    <w:rsid w:val="007B1A19"/>
    <w:rsid w:val="007B2BBE"/>
    <w:rsid w:val="007B4F16"/>
    <w:rsid w:val="007B5DAE"/>
    <w:rsid w:val="007D1666"/>
    <w:rsid w:val="007E4DB8"/>
    <w:rsid w:val="007E737E"/>
    <w:rsid w:val="007F1145"/>
    <w:rsid w:val="007F634A"/>
    <w:rsid w:val="00814089"/>
    <w:rsid w:val="00837D65"/>
    <w:rsid w:val="00841F29"/>
    <w:rsid w:val="00846EDE"/>
    <w:rsid w:val="008663FA"/>
    <w:rsid w:val="00870FD7"/>
    <w:rsid w:val="008744B8"/>
    <w:rsid w:val="008750C4"/>
    <w:rsid w:val="008756DD"/>
    <w:rsid w:val="0089675B"/>
    <w:rsid w:val="008A6AC4"/>
    <w:rsid w:val="008C247E"/>
    <w:rsid w:val="008D457E"/>
    <w:rsid w:val="008D63A3"/>
    <w:rsid w:val="008D6818"/>
    <w:rsid w:val="008E4810"/>
    <w:rsid w:val="00907A6C"/>
    <w:rsid w:val="0091223E"/>
    <w:rsid w:val="00930660"/>
    <w:rsid w:val="00934664"/>
    <w:rsid w:val="00970207"/>
    <w:rsid w:val="00972DDF"/>
    <w:rsid w:val="009767F3"/>
    <w:rsid w:val="00981D2E"/>
    <w:rsid w:val="009864F2"/>
    <w:rsid w:val="009A5434"/>
    <w:rsid w:val="009D3741"/>
    <w:rsid w:val="009F5A31"/>
    <w:rsid w:val="00A07ED9"/>
    <w:rsid w:val="00A14D3E"/>
    <w:rsid w:val="00A441FE"/>
    <w:rsid w:val="00A54DCF"/>
    <w:rsid w:val="00A70B16"/>
    <w:rsid w:val="00A7433C"/>
    <w:rsid w:val="00A756AC"/>
    <w:rsid w:val="00A84544"/>
    <w:rsid w:val="00A84F01"/>
    <w:rsid w:val="00AA15AE"/>
    <w:rsid w:val="00AA5E45"/>
    <w:rsid w:val="00AB0854"/>
    <w:rsid w:val="00AC3349"/>
    <w:rsid w:val="00B13B79"/>
    <w:rsid w:val="00B22832"/>
    <w:rsid w:val="00B250B3"/>
    <w:rsid w:val="00B83673"/>
    <w:rsid w:val="00B93BFA"/>
    <w:rsid w:val="00B952ED"/>
    <w:rsid w:val="00BA3EF5"/>
    <w:rsid w:val="00BB4C20"/>
    <w:rsid w:val="00BB5F91"/>
    <w:rsid w:val="00BF2A90"/>
    <w:rsid w:val="00BF4BD8"/>
    <w:rsid w:val="00C05DFE"/>
    <w:rsid w:val="00C328F0"/>
    <w:rsid w:val="00C41ED4"/>
    <w:rsid w:val="00C62C4B"/>
    <w:rsid w:val="00C93CEE"/>
    <w:rsid w:val="00CA14C9"/>
    <w:rsid w:val="00CA2055"/>
    <w:rsid w:val="00CA73CF"/>
    <w:rsid w:val="00CB208E"/>
    <w:rsid w:val="00CC0E0C"/>
    <w:rsid w:val="00CC6C9B"/>
    <w:rsid w:val="00CD47C4"/>
    <w:rsid w:val="00CE202C"/>
    <w:rsid w:val="00CE7BDC"/>
    <w:rsid w:val="00CF230B"/>
    <w:rsid w:val="00D00472"/>
    <w:rsid w:val="00D01877"/>
    <w:rsid w:val="00D0415A"/>
    <w:rsid w:val="00D047DC"/>
    <w:rsid w:val="00D14D36"/>
    <w:rsid w:val="00D174B1"/>
    <w:rsid w:val="00D21919"/>
    <w:rsid w:val="00D26267"/>
    <w:rsid w:val="00D3259F"/>
    <w:rsid w:val="00D4641D"/>
    <w:rsid w:val="00D545C1"/>
    <w:rsid w:val="00D55B18"/>
    <w:rsid w:val="00D6361A"/>
    <w:rsid w:val="00D9360D"/>
    <w:rsid w:val="00D9541F"/>
    <w:rsid w:val="00DB775C"/>
    <w:rsid w:val="00DC35E0"/>
    <w:rsid w:val="00DE11D2"/>
    <w:rsid w:val="00DE5D14"/>
    <w:rsid w:val="00E03962"/>
    <w:rsid w:val="00E07F07"/>
    <w:rsid w:val="00E45A32"/>
    <w:rsid w:val="00E513D8"/>
    <w:rsid w:val="00E617C9"/>
    <w:rsid w:val="00E7099E"/>
    <w:rsid w:val="00E929C7"/>
    <w:rsid w:val="00E959BF"/>
    <w:rsid w:val="00E95F6A"/>
    <w:rsid w:val="00E96E30"/>
    <w:rsid w:val="00EA1C33"/>
    <w:rsid w:val="00EC5FF8"/>
    <w:rsid w:val="00ED739F"/>
    <w:rsid w:val="00EE4104"/>
    <w:rsid w:val="00EF62A1"/>
    <w:rsid w:val="00F11F0F"/>
    <w:rsid w:val="00F27463"/>
    <w:rsid w:val="00F45F9D"/>
    <w:rsid w:val="00F532DA"/>
    <w:rsid w:val="00F611C2"/>
    <w:rsid w:val="00F71C45"/>
    <w:rsid w:val="00F8223D"/>
    <w:rsid w:val="00F86B04"/>
    <w:rsid w:val="00F86BD9"/>
    <w:rsid w:val="00F923C4"/>
    <w:rsid w:val="00FC4780"/>
    <w:rsid w:val="00FF17DE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29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locked/>
    <w:rsid w:val="00BA3EF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1F29"/>
    <w:pPr>
      <w:keepNext/>
      <w:jc w:val="center"/>
    </w:pPr>
    <w:rPr>
      <w:rFonts w:ascii="Arial" w:hAnsi="Arial"/>
      <w:b/>
      <w:bCs/>
      <w:sz w:val="22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41F29"/>
    <w:rPr>
      <w:rFonts w:ascii="Arial" w:hAnsi="Arial" w:cs="Times New Roman"/>
      <w:b/>
      <w:bCs/>
      <w:sz w:val="22"/>
      <w:lang w:val="en-AU" w:eastAsia="en-US" w:bidi="ar-SA"/>
    </w:rPr>
  </w:style>
  <w:style w:type="paragraph" w:styleId="Subtitle">
    <w:name w:val="Subtitle"/>
    <w:basedOn w:val="Normal"/>
    <w:link w:val="SubtitleChar"/>
    <w:uiPriority w:val="99"/>
    <w:qFormat/>
    <w:rsid w:val="00841F29"/>
    <w:pPr>
      <w:keepNext/>
      <w:jc w:val="center"/>
    </w:pPr>
    <w:rPr>
      <w:rFonts w:ascii="Arial" w:hAnsi="Arial"/>
      <w:b/>
      <w:bCs/>
      <w:sz w:val="22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41F29"/>
    <w:rPr>
      <w:rFonts w:ascii="Arial" w:hAnsi="Arial" w:cs="Times New Roman"/>
      <w:b/>
      <w:bCs/>
      <w:sz w:val="22"/>
      <w:lang w:val="en-AU" w:eastAsia="en-US" w:bidi="ar-SA"/>
    </w:rPr>
  </w:style>
  <w:style w:type="paragraph" w:styleId="FootnoteText">
    <w:name w:val="footnote text"/>
    <w:basedOn w:val="Normal"/>
    <w:link w:val="FootnoteTextChar"/>
    <w:semiHidden/>
    <w:rsid w:val="00841F29"/>
    <w:rPr>
      <w:rFonts w:ascii="Arial" w:hAnsi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1F29"/>
    <w:rPr>
      <w:rFonts w:ascii="Arial" w:hAnsi="Arial" w:cs="Times New Roman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841F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1F29"/>
    <w:rPr>
      <w:rFonts w:cs="Times New Roman"/>
      <w:sz w:val="24"/>
      <w:szCs w:val="24"/>
      <w:lang w:val="en-GB" w:eastAsia="en-GB" w:bidi="ar-SA"/>
    </w:rPr>
  </w:style>
  <w:style w:type="character" w:styleId="PageNumber">
    <w:name w:val="page number"/>
    <w:basedOn w:val="DefaultParagraphFont"/>
    <w:uiPriority w:val="99"/>
    <w:rsid w:val="00841F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41F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1F29"/>
    <w:rPr>
      <w:rFonts w:cs="Times New Roman"/>
      <w:sz w:val="24"/>
      <w:szCs w:val="24"/>
      <w:lang w:val="en-GB" w:eastAsia="en-GB" w:bidi="ar-SA"/>
    </w:rPr>
  </w:style>
  <w:style w:type="table" w:styleId="TableGrid">
    <w:name w:val="Table Grid"/>
    <w:basedOn w:val="TableNormal"/>
    <w:uiPriority w:val="99"/>
    <w:rsid w:val="00841F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51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513D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27579A"/>
    <w:pPr>
      <w:spacing w:after="200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99"/>
    <w:qFormat/>
    <w:rsid w:val="00D4641D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526515"/>
    <w:pPr>
      <w:ind w:left="720"/>
    </w:pPr>
    <w:rPr>
      <w:rFonts w:ascii="Calibri" w:hAnsi="Calibri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BA3EF5"/>
    <w:rPr>
      <w:rFonts w:ascii="Arial" w:hAnsi="Arial" w:cs="Arial"/>
    </w:rPr>
  </w:style>
  <w:style w:type="table" w:styleId="MediumGrid3-Accent1">
    <w:name w:val="Medium Grid 3 Accent 1"/>
    <w:basedOn w:val="TableNormal"/>
    <w:uiPriority w:val="69"/>
    <w:rsid w:val="00CB20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List2-Accent1">
    <w:name w:val="Medium List 2 Accent 1"/>
    <w:basedOn w:val="TableNormal"/>
    <w:uiPriority w:val="66"/>
    <w:rsid w:val="00CB20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208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B208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29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locked/>
    <w:rsid w:val="00BA3EF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1F29"/>
    <w:pPr>
      <w:keepNext/>
      <w:jc w:val="center"/>
    </w:pPr>
    <w:rPr>
      <w:rFonts w:ascii="Arial" w:hAnsi="Arial"/>
      <w:b/>
      <w:bCs/>
      <w:sz w:val="22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41F29"/>
    <w:rPr>
      <w:rFonts w:ascii="Arial" w:hAnsi="Arial" w:cs="Times New Roman"/>
      <w:b/>
      <w:bCs/>
      <w:sz w:val="22"/>
      <w:lang w:val="en-AU" w:eastAsia="en-US" w:bidi="ar-SA"/>
    </w:rPr>
  </w:style>
  <w:style w:type="paragraph" w:styleId="Subtitle">
    <w:name w:val="Subtitle"/>
    <w:basedOn w:val="Normal"/>
    <w:link w:val="SubtitleChar"/>
    <w:uiPriority w:val="99"/>
    <w:qFormat/>
    <w:rsid w:val="00841F29"/>
    <w:pPr>
      <w:keepNext/>
      <w:jc w:val="center"/>
    </w:pPr>
    <w:rPr>
      <w:rFonts w:ascii="Arial" w:hAnsi="Arial"/>
      <w:b/>
      <w:bCs/>
      <w:sz w:val="22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41F29"/>
    <w:rPr>
      <w:rFonts w:ascii="Arial" w:hAnsi="Arial" w:cs="Times New Roman"/>
      <w:b/>
      <w:bCs/>
      <w:sz w:val="22"/>
      <w:lang w:val="en-AU" w:eastAsia="en-US" w:bidi="ar-SA"/>
    </w:rPr>
  </w:style>
  <w:style w:type="paragraph" w:styleId="FootnoteText">
    <w:name w:val="footnote text"/>
    <w:basedOn w:val="Normal"/>
    <w:link w:val="FootnoteTextChar"/>
    <w:semiHidden/>
    <w:rsid w:val="00841F29"/>
    <w:rPr>
      <w:rFonts w:ascii="Arial" w:hAnsi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1F29"/>
    <w:rPr>
      <w:rFonts w:ascii="Arial" w:hAnsi="Arial" w:cs="Times New Roman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841F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1F29"/>
    <w:rPr>
      <w:rFonts w:cs="Times New Roman"/>
      <w:sz w:val="24"/>
      <w:szCs w:val="24"/>
      <w:lang w:val="en-GB" w:eastAsia="en-GB" w:bidi="ar-SA"/>
    </w:rPr>
  </w:style>
  <w:style w:type="character" w:styleId="PageNumber">
    <w:name w:val="page number"/>
    <w:basedOn w:val="DefaultParagraphFont"/>
    <w:uiPriority w:val="99"/>
    <w:rsid w:val="00841F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41F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1F29"/>
    <w:rPr>
      <w:rFonts w:cs="Times New Roman"/>
      <w:sz w:val="24"/>
      <w:szCs w:val="24"/>
      <w:lang w:val="en-GB" w:eastAsia="en-GB" w:bidi="ar-SA"/>
    </w:rPr>
  </w:style>
  <w:style w:type="table" w:styleId="TableGrid">
    <w:name w:val="Table Grid"/>
    <w:basedOn w:val="TableNormal"/>
    <w:uiPriority w:val="99"/>
    <w:rsid w:val="00841F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51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513D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27579A"/>
    <w:pPr>
      <w:spacing w:after="200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99"/>
    <w:qFormat/>
    <w:rsid w:val="00D4641D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526515"/>
    <w:pPr>
      <w:ind w:left="720"/>
    </w:pPr>
    <w:rPr>
      <w:rFonts w:ascii="Calibri" w:hAnsi="Calibri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BA3EF5"/>
    <w:rPr>
      <w:rFonts w:ascii="Arial" w:hAnsi="Arial" w:cs="Arial"/>
    </w:rPr>
  </w:style>
  <w:style w:type="table" w:styleId="MediumGrid3-Accent1">
    <w:name w:val="Medium Grid 3 Accent 1"/>
    <w:basedOn w:val="TableNormal"/>
    <w:uiPriority w:val="69"/>
    <w:rsid w:val="00CB20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List2-Accent1">
    <w:name w:val="Medium List 2 Accent 1"/>
    <w:basedOn w:val="TableNormal"/>
    <w:uiPriority w:val="66"/>
    <w:rsid w:val="00CB20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208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B208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customXml" Target="../customXml/item5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customXml" Target="../customXml/item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total number of claims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total number of claims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NSI</c:v>
                </c:pt>
                <c:pt idx="1">
                  <c:v>MH</c:v>
                </c:pt>
                <c:pt idx="2">
                  <c:v>Falls</c:v>
                </c:pt>
                <c:pt idx="3">
                  <c:v>Other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15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Notified to NHSLA 2014/15</a:t>
            </a:r>
          </a:p>
        </c:rich>
      </c:tx>
      <c:layout>
        <c:manualLayout>
          <c:xMode val="edge"/>
          <c:yMode val="edge"/>
          <c:x val="0.15304818092428726"/>
          <c:y val="4.6783625730994163E-2"/>
        </c:manualLayout>
      </c:layout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Notified to NHSLA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NSI</c:v>
                </c:pt>
                <c:pt idx="1">
                  <c:v>MH</c:v>
                </c:pt>
                <c:pt idx="2">
                  <c:v>Falls</c:v>
                </c:pt>
                <c:pt idx="3">
                  <c:v>Other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</c:v>
                </c:pt>
                <c:pt idx="1">
                  <c:v>1</c:v>
                </c:pt>
                <c:pt idx="2">
                  <c:v>8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Group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NSI</c:v>
                </c:pt>
                <c:pt idx="1">
                  <c:v>MH</c:v>
                </c:pt>
                <c:pt idx="2">
                  <c:v>Falls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Group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NSI</c:v>
                </c:pt>
                <c:pt idx="1">
                  <c:v>MH</c:v>
                </c:pt>
                <c:pt idx="2">
                  <c:v>Falls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1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Group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NSI</c:v>
                </c:pt>
                <c:pt idx="1">
                  <c:v>MH</c:v>
                </c:pt>
                <c:pt idx="2">
                  <c:v>Falls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Group 4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NSI</c:v>
                </c:pt>
                <c:pt idx="1">
                  <c:v>MH</c:v>
                </c:pt>
                <c:pt idx="2">
                  <c:v>Falls</c:v>
                </c:pt>
                <c:pt idx="3">
                  <c:v>Category 4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258752"/>
        <c:axId val="101260288"/>
      </c:lineChart>
      <c:catAx>
        <c:axId val="101258752"/>
        <c:scaling>
          <c:orientation val="minMax"/>
        </c:scaling>
        <c:delete val="0"/>
        <c:axPos val="b"/>
        <c:majorTickMark val="out"/>
        <c:minorTickMark val="none"/>
        <c:tickLblPos val="nextTo"/>
        <c:crossAx val="101260288"/>
        <c:crosses val="autoZero"/>
        <c:auto val="1"/>
        <c:lblAlgn val="ctr"/>
        <c:lblOffset val="100"/>
        <c:noMultiLvlLbl val="0"/>
      </c:catAx>
      <c:valAx>
        <c:axId val="101260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258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HSLADocument" ma:contentTypeID="0x010100DF561E453FCA64459487CDF1ACC7DE3A000DBCE62FBB527E4BA8938C84665F452C" ma:contentTypeVersion="5" ma:contentTypeDescription="" ma:contentTypeScope="" ma:versionID="b09f64ede69addfc54ee76eddb9f60be">
  <xsd:schema xmlns:xsd="http://www.w3.org/2001/XMLSchema" xmlns:xs="http://www.w3.org/2001/XMLSchema" xmlns:p="http://schemas.microsoft.com/office/2006/metadata/properties" xmlns:ns2="e72257b7-45c5-436d-a2b5-2bd6dbba54f5" targetNamespace="http://schemas.microsoft.com/office/2006/metadata/properties" ma:root="true" ma:fieldsID="0b474dcdb7e0a9df3e189a347465f6e1" ns2:_="">
    <xsd:import namespace="e72257b7-45c5-436d-a2b5-2bd6dbba54f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3a5f709674d4a14ad38481626d12c6c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257b7-45c5-436d-a2b5-2bd6dbba54f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b5071aa-f9b7-4325-8bd7-b3113fd4acf4}" ma:internalName="TaxCatchAll" ma:showField="CatchAllData" ma:web="e72257b7-45c5-436d-a2b5-2bd6dbba5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b5071aa-f9b7-4325-8bd7-b3113fd4acf4}" ma:internalName="TaxCatchAllLabel" ma:readOnly="true" ma:showField="CatchAllDataLabel" ma:web="e72257b7-45c5-436d-a2b5-2bd6dbba5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3a5f709674d4a14ad38481626d12c6c" ma:index="10" ma:taxonomy="true" ma:internalName="p3a5f709674d4a14ad38481626d12c6c" ma:taxonomyFieldName="Managed_x0020_MetaData" ma:displayName="Managed MetaData" ma:readOnly="false" ma:default="" ma:fieldId="{93a5f709-674d-4a14-ad38-481626d12c6c}" ma:sspId="fa8cdfeb-eeb9-4c35-8631-95be33b0dfa8" ma:termSetId="c235dd3f-cb11-47e6-9ad9-65ae95ef35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257b7-45c5-436d-a2b5-2bd6dbba54f5">
      <Value>107</Value>
    </TaxCatchAll>
    <p3a5f709674d4a14ad38481626d12c6c xmlns="e72257b7-45c5-436d-a2b5-2bd6dbba54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</TermName>
          <TermId xmlns="http://schemas.microsoft.com/office/infopath/2007/PartnerControls">c5e5ff28-fc60-486f-9e6d-46e2fad6f03b</TermId>
        </TermInfo>
      </Terms>
    </p3a5f709674d4a14ad38481626d12c6c>
    <_dlc_DocId xmlns="e72257b7-45c5-436d-a2b5-2bd6dbba54f5">X7QF5QAWQCKX-43-865</_dlc_DocId>
    <_dlc_DocIdUrl xmlns="e72257b7-45c5-436d-a2b5-2bd6dbba54f5">
      <Url>http://londmzpweb/Safety/_layouts/DocIdRedir.aspx?ID=X7QF5QAWQCKX-43-865</Url>
      <Description>X7QF5QAWQCKX-43-865</Description>
    </_dlc_DocIdUrl>
  </documentManagement>
</p:properties>
</file>

<file path=customXml/itemProps1.xml><?xml version="1.0" encoding="utf-8"?>
<ds:datastoreItem xmlns:ds="http://schemas.openxmlformats.org/officeDocument/2006/customXml" ds:itemID="{04EAF4C4-CA48-4448-97DF-8A4F9B07AF9F}"/>
</file>

<file path=customXml/itemProps2.xml><?xml version="1.0" encoding="utf-8"?>
<ds:datastoreItem xmlns:ds="http://schemas.openxmlformats.org/officeDocument/2006/customXml" ds:itemID="{F0698407-7E2A-4BCE-AFA8-39055141B7AC}"/>
</file>

<file path=customXml/itemProps3.xml><?xml version="1.0" encoding="utf-8"?>
<ds:datastoreItem xmlns:ds="http://schemas.openxmlformats.org/officeDocument/2006/customXml" ds:itemID="{D7B6C94A-3A82-47F0-96D6-A06D0CE0246C}"/>
</file>

<file path=customXml/itemProps4.xml><?xml version="1.0" encoding="utf-8"?>
<ds:datastoreItem xmlns:ds="http://schemas.openxmlformats.org/officeDocument/2006/customXml" ds:itemID="{BF45D9DE-6057-4016-9158-823B5EB1CB8E}"/>
</file>

<file path=customXml/itemProps5.xml><?xml version="1.0" encoding="utf-8"?>
<ds:datastoreItem xmlns:ds="http://schemas.openxmlformats.org/officeDocument/2006/customXml" ds:itemID="{15E0B6EB-0F1C-4DAB-8342-BBFB71175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4366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SOUTHAMPTON UNIVERSITY HOSPITALS NHS TRUST</vt:lpstr>
    </vt:vector>
  </TitlesOfParts>
  <Company>SUHT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SOUTHAMPTON UNIVERSITY HOSPITALS NHS TRUST</dc:title>
  <dc:creator>wrighs</dc:creator>
  <cp:lastModifiedBy>Admin</cp:lastModifiedBy>
  <cp:revision>2</cp:revision>
  <cp:lastPrinted>2015-09-22T09:56:00Z</cp:lastPrinted>
  <dcterms:created xsi:type="dcterms:W3CDTF">2016-07-04T13:16:00Z</dcterms:created>
  <dcterms:modified xsi:type="dcterms:W3CDTF">2016-07-04T13:16:00Z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0x010100DF561E453FCA64459487CDF1ACC7DE3A000DBCE62FBB527E4BA8938C84665F452C</vt:lpwstr>
  </property>
  <property fmtid="{D5CDD505-2E9C-101B-9397-08002B2CF9AE}" pid="3" name="_dlc_DocIdItemGuid">
    <vt:lpwstr>0782c93e-90b7-43e5-9b26-7e5c78db3e60</vt:lpwstr>
  </property>
  <property fmtid="{D5CDD505-2E9C-101B-9397-08002B2CF9AE}" pid="4" name="Managed MetaData">
    <vt:lpwstr>107;#Safety|c5e5ff28-fc60-486f-9e6d-46e2fad6f03b</vt:lpwstr>
  </property>
</Properties>
</file>