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CFC" w:rsidRDefault="00CA5CFC">
      <w:pPr>
        <w:pStyle w:val="BodyText"/>
        <w:spacing w:before="9"/>
        <w:ind w:left="0"/>
        <w:rPr>
          <w:rFonts w:ascii="Times New Roman"/>
          <w:sz w:val="12"/>
        </w:rPr>
      </w:pPr>
    </w:p>
    <w:p w:rsidR="00CA5CFC" w:rsidRDefault="00D07FED">
      <w:pPr>
        <w:spacing w:before="92"/>
        <w:ind w:left="100"/>
        <w:rPr>
          <w:b/>
          <w:sz w:val="28"/>
        </w:rPr>
      </w:pPr>
      <w:r>
        <w:rPr>
          <w:b/>
          <w:sz w:val="28"/>
        </w:rPr>
        <w:t>Next steps</w:t>
      </w:r>
    </w:p>
    <w:p w:rsidR="00CA5CFC" w:rsidRDefault="00D07FED">
      <w:pPr>
        <w:pStyle w:val="BodyText"/>
        <w:spacing w:before="248" w:line="276" w:lineRule="auto"/>
        <w:ind w:right="352"/>
      </w:pPr>
      <w:r>
        <w:t>All Trusts, whether successful or not, have received their outcome letters and successful Trusts were asked to commit to a number of areas to ensure that safety and learning benefits the wider NHS in line with the ethos of the Sign up to Safety Campaign. T</w:t>
      </w:r>
      <w:r>
        <w:t>he commitments are for CEOs to confirm that:</w:t>
      </w:r>
    </w:p>
    <w:p w:rsidR="00CA5CFC" w:rsidRDefault="00D07FED">
      <w:pPr>
        <w:pStyle w:val="ListParagraph"/>
        <w:numPr>
          <w:ilvl w:val="0"/>
          <w:numId w:val="1"/>
        </w:numPr>
        <w:tabs>
          <w:tab w:val="left" w:pos="821"/>
        </w:tabs>
        <w:spacing w:before="202" w:line="276" w:lineRule="auto"/>
        <w:ind w:right="854"/>
        <w:rPr>
          <w:sz w:val="24"/>
        </w:rPr>
      </w:pPr>
      <w:r>
        <w:rPr>
          <w:sz w:val="24"/>
        </w:rPr>
        <w:t>Confirmation to be provided that the funds allocated will be used only</w:t>
      </w:r>
      <w:r>
        <w:rPr>
          <w:spacing w:val="-33"/>
          <w:sz w:val="24"/>
        </w:rPr>
        <w:t xml:space="preserve"> </w:t>
      </w:r>
      <w:r>
        <w:rPr>
          <w:sz w:val="24"/>
        </w:rPr>
        <w:t>in relation to the submitted</w:t>
      </w:r>
      <w:r>
        <w:rPr>
          <w:spacing w:val="-7"/>
          <w:sz w:val="24"/>
        </w:rPr>
        <w:t xml:space="preserve"> </w:t>
      </w:r>
      <w:r>
        <w:rPr>
          <w:sz w:val="24"/>
        </w:rPr>
        <w:t>bid;</w:t>
      </w:r>
    </w:p>
    <w:p w:rsidR="00CA5CFC" w:rsidRDefault="00D07FED">
      <w:pPr>
        <w:pStyle w:val="ListParagraph"/>
        <w:numPr>
          <w:ilvl w:val="0"/>
          <w:numId w:val="1"/>
        </w:numPr>
        <w:tabs>
          <w:tab w:val="left" w:pos="821"/>
        </w:tabs>
        <w:spacing w:before="200" w:line="278" w:lineRule="auto"/>
        <w:ind w:right="650"/>
        <w:rPr>
          <w:sz w:val="24"/>
        </w:rPr>
      </w:pPr>
      <w:r>
        <w:rPr>
          <w:sz w:val="24"/>
        </w:rPr>
        <w:t>The Trust is asked to publish a summary of their successful bid, including details of the anticipated outc</w:t>
      </w:r>
      <w:r>
        <w:rPr>
          <w:sz w:val="24"/>
        </w:rPr>
        <w:t>omes, on their public</w:t>
      </w:r>
      <w:r>
        <w:rPr>
          <w:spacing w:val="-18"/>
          <w:sz w:val="24"/>
        </w:rPr>
        <w:t xml:space="preserve"> </w:t>
      </w:r>
      <w:r>
        <w:rPr>
          <w:sz w:val="24"/>
        </w:rPr>
        <w:t>website;</w:t>
      </w:r>
    </w:p>
    <w:p w:rsidR="00CA5CFC" w:rsidRDefault="00D07FED">
      <w:pPr>
        <w:pStyle w:val="ListParagraph"/>
        <w:numPr>
          <w:ilvl w:val="0"/>
          <w:numId w:val="1"/>
        </w:numPr>
        <w:tabs>
          <w:tab w:val="left" w:pos="821"/>
        </w:tabs>
        <w:spacing w:before="197" w:line="276" w:lineRule="auto"/>
        <w:rPr>
          <w:sz w:val="24"/>
        </w:rPr>
      </w:pPr>
      <w:r>
        <w:rPr>
          <w:sz w:val="24"/>
        </w:rPr>
        <w:t>The Trust will provide details of their successful bid(s) to their Trust Board and their local commissioners and provide regular updates on the monitoring of their</w:t>
      </w:r>
      <w:r>
        <w:rPr>
          <w:spacing w:val="-3"/>
          <w:sz w:val="24"/>
        </w:rPr>
        <w:t xml:space="preserve"> </w:t>
      </w:r>
      <w:r>
        <w:rPr>
          <w:sz w:val="24"/>
        </w:rPr>
        <w:t>progress;</w:t>
      </w:r>
    </w:p>
    <w:p w:rsidR="00CA5CFC" w:rsidRDefault="00D07FED">
      <w:pPr>
        <w:pStyle w:val="ListParagraph"/>
        <w:numPr>
          <w:ilvl w:val="0"/>
          <w:numId w:val="1"/>
        </w:numPr>
        <w:tabs>
          <w:tab w:val="left" w:pos="821"/>
        </w:tabs>
        <w:spacing w:line="276" w:lineRule="auto"/>
        <w:ind w:right="381"/>
        <w:rPr>
          <w:sz w:val="24"/>
        </w:rPr>
      </w:pPr>
      <w:r>
        <w:rPr>
          <w:sz w:val="24"/>
        </w:rPr>
        <w:t>The Trust will provide feedback and share safety an</w:t>
      </w:r>
      <w:r>
        <w:rPr>
          <w:sz w:val="24"/>
        </w:rPr>
        <w:t>d learning themes with external partners and directly with the Safety and Learning team at NHS Resolution</w:t>
      </w:r>
      <w:r>
        <w:rPr>
          <w:sz w:val="24"/>
        </w:rPr>
        <w:t>;</w:t>
      </w:r>
    </w:p>
    <w:p w:rsidR="00CA5CFC" w:rsidRDefault="00D07FED">
      <w:pPr>
        <w:pStyle w:val="ListParagraph"/>
        <w:numPr>
          <w:ilvl w:val="0"/>
          <w:numId w:val="1"/>
        </w:numPr>
        <w:tabs>
          <w:tab w:val="left" w:pos="821"/>
        </w:tabs>
        <w:spacing w:line="276" w:lineRule="auto"/>
        <w:ind w:right="182"/>
        <w:rPr>
          <w:sz w:val="24"/>
        </w:rPr>
      </w:pPr>
      <w:r>
        <w:rPr>
          <w:sz w:val="24"/>
        </w:rPr>
        <w:t xml:space="preserve">The Trust will agree to collaborate with NHS Resolution </w:t>
      </w:r>
      <w:r>
        <w:rPr>
          <w:sz w:val="24"/>
        </w:rPr>
        <w:t>and Royal Colleges in the progress of implementation of the bid and in particular for all maternity b</w:t>
      </w:r>
      <w:r>
        <w:rPr>
          <w:sz w:val="24"/>
        </w:rPr>
        <w:t>ids with relevant Royal Colleges as regards maternity claims and outcomes from the bid.  More details will</w:t>
      </w:r>
      <w:r>
        <w:rPr>
          <w:spacing w:val="-13"/>
          <w:sz w:val="24"/>
        </w:rPr>
        <w:t xml:space="preserve"> </w:t>
      </w:r>
      <w:r>
        <w:rPr>
          <w:sz w:val="24"/>
        </w:rPr>
        <w:t>follow.</w:t>
      </w:r>
    </w:p>
    <w:p w:rsidR="00CA5CFC" w:rsidRDefault="00D07FED">
      <w:pPr>
        <w:pStyle w:val="ListParagraph"/>
        <w:numPr>
          <w:ilvl w:val="0"/>
          <w:numId w:val="1"/>
        </w:numPr>
        <w:tabs>
          <w:tab w:val="left" w:pos="821"/>
        </w:tabs>
        <w:spacing w:before="202" w:line="276" w:lineRule="auto"/>
        <w:ind w:right="173"/>
        <w:rPr>
          <w:sz w:val="24"/>
        </w:rPr>
      </w:pPr>
      <w:r>
        <w:rPr>
          <w:sz w:val="24"/>
        </w:rPr>
        <w:t>The Trust will agree to ‘buddy’ with an unsuccessful bidder in terms of</w:t>
      </w:r>
      <w:r>
        <w:rPr>
          <w:spacing w:val="-41"/>
          <w:sz w:val="24"/>
        </w:rPr>
        <w:t xml:space="preserve"> </w:t>
      </w:r>
      <w:r>
        <w:rPr>
          <w:sz w:val="24"/>
        </w:rPr>
        <w:t>sharing best practice to support quality improvements to those requir</w:t>
      </w:r>
      <w:r>
        <w:rPr>
          <w:sz w:val="24"/>
        </w:rPr>
        <w:t>ing additional support;</w:t>
      </w:r>
    </w:p>
    <w:p w:rsidR="00CA5CFC" w:rsidRDefault="00D07FED">
      <w:pPr>
        <w:pStyle w:val="ListParagraph"/>
        <w:numPr>
          <w:ilvl w:val="0"/>
          <w:numId w:val="1"/>
        </w:numPr>
        <w:tabs>
          <w:tab w:val="left" w:pos="821"/>
        </w:tabs>
        <w:spacing w:before="202" w:line="276" w:lineRule="auto"/>
        <w:ind w:right="512"/>
        <w:rPr>
          <w:sz w:val="24"/>
        </w:rPr>
      </w:pPr>
      <w:r>
        <w:rPr>
          <w:sz w:val="24"/>
        </w:rPr>
        <w:t>The Trust will agree to coordinate with Trusts requesting the same specific equipment or training to ensure procurement benefits from economies of scale and value for money – NHS Resolution</w:t>
      </w:r>
      <w:r>
        <w:rPr>
          <w:sz w:val="24"/>
        </w:rPr>
        <w:t xml:space="preserve"> will be in contact to provide details of those Tru</w:t>
      </w:r>
      <w:r>
        <w:rPr>
          <w:sz w:val="24"/>
        </w:rPr>
        <w:t>sts with shared purposes, equipment and</w:t>
      </w:r>
      <w:r>
        <w:rPr>
          <w:spacing w:val="-25"/>
          <w:sz w:val="24"/>
        </w:rPr>
        <w:t xml:space="preserve"> </w:t>
      </w:r>
      <w:r>
        <w:rPr>
          <w:sz w:val="24"/>
        </w:rPr>
        <w:t>training.</w:t>
      </w:r>
    </w:p>
    <w:p w:rsidR="00CA5CFC" w:rsidRDefault="00D07FED">
      <w:pPr>
        <w:pStyle w:val="BodyText"/>
        <w:spacing w:before="202" w:line="276" w:lineRule="auto"/>
        <w:ind w:right="352"/>
      </w:pPr>
      <w:r>
        <w:t>As Trusts have now received their funding and will already be engaged in implementing their safety improvement plans, the NHS LA’s Safety and Learning Team will facilitate the sharing of progress publicised</w:t>
      </w:r>
      <w:r>
        <w:t xml:space="preserve"> by the Trusts, and ensure buddying arrangements take place with unsuccessful Trusts for a number of specialities.</w:t>
      </w:r>
    </w:p>
    <w:p w:rsidR="00CA5CFC" w:rsidRDefault="00D07FED" w:rsidP="00D07FED">
      <w:pPr>
        <w:pStyle w:val="BodyText"/>
      </w:pPr>
      <w:r>
        <w:t>In the area of maternity, two regional networking events for maternity units who submitted bids for funding have been organised, one in Manchester and one in London in July 2015. These events were facilitated by NHS Resolution</w:t>
      </w:r>
      <w:r>
        <w:t xml:space="preserve"> and supported by Dr David Richmon</w:t>
      </w:r>
      <w:r>
        <w:t xml:space="preserve">d President RCOG and Professor Cathy Warwick Chief Executive RCM.  They also included representation from NICE, NHS Supply Chain, Electronic </w:t>
      </w:r>
      <w:r>
        <w:t xml:space="preserve">Staff Record Program and the University of Northumbria. These events provided an opportunity for the successful bidders to ‘buddy’ up with Trusts who have </w:t>
      </w:r>
      <w:r>
        <w:lastRenderedPageBreak/>
        <w:t>been unsuccessful in their bids in terms of sharing best practice to support quality improvements and</w:t>
      </w:r>
      <w:r>
        <w:t xml:space="preserve"> those requiring/requesting additional support.</w:t>
      </w:r>
    </w:p>
    <w:p w:rsidR="00CA5CFC" w:rsidRDefault="00D07FED">
      <w:pPr>
        <w:pStyle w:val="BodyText"/>
        <w:spacing w:before="201" w:line="276" w:lineRule="auto"/>
      </w:pPr>
      <w:r>
        <w:t>Trusts which are not Foundation Trusts are required to implement plans of their bids within the year 2014/2015. Only Foundation Trusts can carry forward funding allocated.</w:t>
      </w:r>
    </w:p>
    <w:p w:rsidR="00CA5CFC" w:rsidRDefault="00D07FED">
      <w:pPr>
        <w:spacing w:before="199"/>
        <w:ind w:left="100"/>
        <w:rPr>
          <w:b/>
          <w:sz w:val="24"/>
        </w:rPr>
      </w:pPr>
      <w:r>
        <w:rPr>
          <w:b/>
          <w:color w:val="0071C5"/>
          <w:sz w:val="24"/>
        </w:rPr>
        <w:t>Evaluation</w:t>
      </w:r>
    </w:p>
    <w:p w:rsidR="00CA5CFC" w:rsidRDefault="00CA5CFC">
      <w:pPr>
        <w:pStyle w:val="BodyText"/>
        <w:ind w:left="0"/>
        <w:rPr>
          <w:b/>
          <w:sz w:val="21"/>
        </w:rPr>
      </w:pPr>
    </w:p>
    <w:p w:rsidR="00CA5CFC" w:rsidRDefault="00D07FED">
      <w:pPr>
        <w:pStyle w:val="BodyText"/>
        <w:spacing w:before="1" w:line="276" w:lineRule="auto"/>
        <w:ind w:right="111"/>
      </w:pPr>
      <w:r>
        <w:t>Although it is too soon to consider the impact of the incentivisation scheme, there are plans to showcase the results of successful bids and more information on this will follow in the course of the year. Nevertheless, within year, it will be possible to e</w:t>
      </w:r>
      <w:r>
        <w:t>valuate how the incentivisation scheme was conducted, including the barriers and challenges experienced by Trusts in taking up the offer. NHS Resolution</w:t>
      </w:r>
      <w:r>
        <w:t xml:space="preserve"> has received feedback from Trusts about the difficulties of meeting the deadline for the scheme in relation</w:t>
      </w:r>
      <w:r>
        <w:t xml:space="preserve"> to winter pressures, regulatory visits and sign off requirements within Trusts. If another similar scheme ran, such elements would be addressed.</w:t>
      </w:r>
    </w:p>
    <w:p w:rsidR="00CA5CFC" w:rsidRDefault="00D07FED">
      <w:pPr>
        <w:pStyle w:val="BodyText"/>
        <w:spacing w:before="202" w:line="276" w:lineRule="auto"/>
        <w:ind w:right="271"/>
      </w:pPr>
      <w:r>
        <w:t>For all information queries relating to Safety and Learning or NHS Resolution</w:t>
      </w:r>
      <w:r>
        <w:t xml:space="preserve"> support of the Sign up to Safety Cam</w:t>
      </w:r>
      <w:r>
        <w:t xml:space="preserve">paign, please contact: </w:t>
      </w:r>
      <w:hyperlink r:id="rId8">
        <w:r>
          <w:rPr>
            <w:color w:val="0000FF"/>
            <w:u w:val="single" w:color="0000FF"/>
          </w:rPr>
          <w:t>safetyandlearningenqu</w:t>
        </w:r>
        <w:bookmarkStart w:id="0" w:name="_GoBack"/>
        <w:bookmarkEnd w:id="0"/>
        <w:r>
          <w:rPr>
            <w:color w:val="0000FF"/>
            <w:u w:val="single" w:color="0000FF"/>
          </w:rPr>
          <w:t>iries@nhsla.com</w:t>
        </w:r>
      </w:hyperlink>
      <w:r>
        <w:t>.</w:t>
      </w:r>
    </w:p>
    <w:sectPr w:rsidR="00CA5CFC">
      <w:headerReference w:type="default" r:id="rId9"/>
      <w:footerReference w:type="default" r:id="rId10"/>
      <w:pgSz w:w="11910" w:h="16840"/>
      <w:pgMar w:top="1660" w:right="1320" w:bottom="1220" w:left="1340" w:header="708" w:footer="10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07FED">
      <w:r>
        <w:separator/>
      </w:r>
    </w:p>
  </w:endnote>
  <w:endnote w:type="continuationSeparator" w:id="0">
    <w:p w:rsidR="00000000" w:rsidRDefault="00D07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CFC" w:rsidRDefault="00D07FED">
    <w:pPr>
      <w:pStyle w:val="BodyText"/>
      <w:spacing w:line="14" w:lineRule="auto"/>
      <w:ind w:left="0"/>
      <w:rPr>
        <w:sz w:val="20"/>
      </w:rPr>
    </w:pPr>
    <w:r>
      <w:rPr>
        <w:noProof/>
        <w:lang w:val="en-GB" w:eastAsia="en-GB"/>
      </w:rPr>
      <mc:AlternateContent>
        <mc:Choice Requires="wps">
          <w:drawing>
            <wp:anchor distT="0" distB="0" distL="114300" distR="114300" simplePos="0" relativeHeight="251658240" behindDoc="1" locked="0" layoutInCell="1" allowOverlap="1">
              <wp:simplePos x="0" y="0"/>
              <wp:positionH relativeFrom="page">
                <wp:posOffset>6551930</wp:posOffset>
              </wp:positionH>
              <wp:positionV relativeFrom="page">
                <wp:posOffset>9892665</wp:posOffset>
              </wp:positionV>
              <wp:extent cx="121285" cy="167005"/>
              <wp:effectExtent l="0" t="0" r="381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CFC" w:rsidRDefault="00D07FED">
                          <w:pPr>
                            <w:spacing w:before="12"/>
                            <w:ind w:left="40"/>
                            <w:rPr>
                              <w:sz w:val="20"/>
                            </w:rPr>
                          </w:pPr>
                          <w:r>
                            <w:fldChar w:fldCharType="begin"/>
                          </w:r>
                          <w:r>
                            <w:rPr>
                              <w:w w:val="99"/>
                              <w:sz w:val="20"/>
                            </w:rPr>
                            <w:instrText xml:space="preserve"> PAGE </w:instrText>
                          </w:r>
                          <w:r>
                            <w:fldChar w:fldCharType="separate"/>
                          </w:r>
                          <w:r>
                            <w:rPr>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5.9pt;margin-top:778.95pt;width:9.5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oKXqwIAAKgFAAAOAAAAZHJzL2Uyb0RvYy54bWysVG1vmzAQ/j5p/8Hyd8pLSQI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" filled="f" stroked="f">
              <v:textbox inset="0,0,0,0">
                <w:txbxContent>
                  <w:p w:rsidR="00CA5CFC" w:rsidRDefault="00D07FED">
                    <w:pPr>
                      <w:spacing w:before="12"/>
                      <w:ind w:left="40"/>
                      <w:rPr>
                        <w:sz w:val="20"/>
                      </w:rPr>
                    </w:pPr>
                    <w:r>
                      <w:fldChar w:fldCharType="begin"/>
                    </w:r>
                    <w:r>
                      <w:rPr>
                        <w:w w:val="99"/>
                        <w:sz w:val="20"/>
                      </w:rPr>
                      <w:instrText xml:space="preserve"> PAGE </w:instrText>
                    </w:r>
                    <w:r>
                      <w:fldChar w:fldCharType="separate"/>
                    </w:r>
                    <w:r>
                      <w:rPr>
                        <w:noProof/>
                        <w:w w:val="99"/>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07FED">
      <w:r>
        <w:separator/>
      </w:r>
    </w:p>
  </w:footnote>
  <w:footnote w:type="continuationSeparator" w:id="0">
    <w:p w:rsidR="00000000" w:rsidRDefault="00D07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CFC" w:rsidRDefault="00D914A0">
    <w:pPr>
      <w:pStyle w:val="BodyText"/>
      <w:spacing w:line="14" w:lineRule="auto"/>
      <w:ind w:left="0"/>
      <w:rPr>
        <w:sz w:val="20"/>
      </w:rPr>
    </w:pPr>
    <w:r>
      <w:rPr>
        <w:noProof/>
        <w:sz w:val="20"/>
        <w:lang w:val="en-GB" w:eastAsia="en-GB"/>
      </w:rPr>
      <w:drawing>
        <wp:anchor distT="0" distB="0" distL="114300" distR="114300" simplePos="0" relativeHeight="251659776" behindDoc="0" locked="0" layoutInCell="1" allowOverlap="1" wp14:anchorId="4F45713F" wp14:editId="3616563A">
          <wp:simplePos x="0" y="0"/>
          <wp:positionH relativeFrom="margin">
            <wp:posOffset>5359400</wp:posOffset>
          </wp:positionH>
          <wp:positionV relativeFrom="margin">
            <wp:posOffset>-712470</wp:posOffset>
          </wp:positionV>
          <wp:extent cx="984885" cy="5162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Resolution Right Align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4885" cy="5162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53977"/>
    <w:multiLevelType w:val="hybridMultilevel"/>
    <w:tmpl w:val="7D9C5F02"/>
    <w:lvl w:ilvl="0" w:tplc="3AECCEEA">
      <w:start w:val="1"/>
      <w:numFmt w:val="decimal"/>
      <w:lvlText w:val="%1."/>
      <w:lvlJc w:val="left"/>
      <w:pPr>
        <w:ind w:left="820" w:hanging="360"/>
        <w:jc w:val="left"/>
      </w:pPr>
      <w:rPr>
        <w:rFonts w:ascii="Arial" w:eastAsia="Arial" w:hAnsi="Arial" w:cs="Arial" w:hint="default"/>
        <w:b/>
        <w:bCs/>
        <w:color w:val="0071C5"/>
        <w:w w:val="99"/>
        <w:sz w:val="24"/>
        <w:szCs w:val="24"/>
      </w:rPr>
    </w:lvl>
    <w:lvl w:ilvl="1" w:tplc="8C503B7E">
      <w:numFmt w:val="bullet"/>
      <w:lvlText w:val="•"/>
      <w:lvlJc w:val="left"/>
      <w:pPr>
        <w:ind w:left="1662" w:hanging="360"/>
      </w:pPr>
      <w:rPr>
        <w:rFonts w:hint="default"/>
      </w:rPr>
    </w:lvl>
    <w:lvl w:ilvl="2" w:tplc="E0E0B0DA">
      <w:numFmt w:val="bullet"/>
      <w:lvlText w:val="•"/>
      <w:lvlJc w:val="left"/>
      <w:pPr>
        <w:ind w:left="2505" w:hanging="360"/>
      </w:pPr>
      <w:rPr>
        <w:rFonts w:hint="default"/>
      </w:rPr>
    </w:lvl>
    <w:lvl w:ilvl="3" w:tplc="2BEEC656">
      <w:numFmt w:val="bullet"/>
      <w:lvlText w:val="•"/>
      <w:lvlJc w:val="left"/>
      <w:pPr>
        <w:ind w:left="3347" w:hanging="360"/>
      </w:pPr>
      <w:rPr>
        <w:rFonts w:hint="default"/>
      </w:rPr>
    </w:lvl>
    <w:lvl w:ilvl="4" w:tplc="7A58E6CE">
      <w:numFmt w:val="bullet"/>
      <w:lvlText w:val="•"/>
      <w:lvlJc w:val="left"/>
      <w:pPr>
        <w:ind w:left="4190" w:hanging="360"/>
      </w:pPr>
      <w:rPr>
        <w:rFonts w:hint="default"/>
      </w:rPr>
    </w:lvl>
    <w:lvl w:ilvl="5" w:tplc="0F242CD8">
      <w:numFmt w:val="bullet"/>
      <w:lvlText w:val="•"/>
      <w:lvlJc w:val="left"/>
      <w:pPr>
        <w:ind w:left="5033" w:hanging="360"/>
      </w:pPr>
      <w:rPr>
        <w:rFonts w:hint="default"/>
      </w:rPr>
    </w:lvl>
    <w:lvl w:ilvl="6" w:tplc="E7E041B8">
      <w:numFmt w:val="bullet"/>
      <w:lvlText w:val="•"/>
      <w:lvlJc w:val="left"/>
      <w:pPr>
        <w:ind w:left="5875" w:hanging="360"/>
      </w:pPr>
      <w:rPr>
        <w:rFonts w:hint="default"/>
      </w:rPr>
    </w:lvl>
    <w:lvl w:ilvl="7" w:tplc="A0DA343A">
      <w:numFmt w:val="bullet"/>
      <w:lvlText w:val="•"/>
      <w:lvlJc w:val="left"/>
      <w:pPr>
        <w:ind w:left="6718" w:hanging="360"/>
      </w:pPr>
      <w:rPr>
        <w:rFonts w:hint="default"/>
      </w:rPr>
    </w:lvl>
    <w:lvl w:ilvl="8" w:tplc="EEA4C048">
      <w:numFmt w:val="bullet"/>
      <w:lvlText w:val="•"/>
      <w:lvlJc w:val="left"/>
      <w:pPr>
        <w:ind w:left="7561"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CFC"/>
    <w:rsid w:val="005A171C"/>
    <w:rsid w:val="00CA5CFC"/>
    <w:rsid w:val="00D07FED"/>
    <w:rsid w:val="00D91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spacing w:before="199"/>
      <w:ind w:left="820" w:right="14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A171C"/>
    <w:pPr>
      <w:tabs>
        <w:tab w:val="center" w:pos="4513"/>
        <w:tab w:val="right" w:pos="9026"/>
      </w:tabs>
    </w:pPr>
  </w:style>
  <w:style w:type="character" w:customStyle="1" w:styleId="HeaderChar">
    <w:name w:val="Header Char"/>
    <w:basedOn w:val="DefaultParagraphFont"/>
    <w:link w:val="Header"/>
    <w:uiPriority w:val="99"/>
    <w:rsid w:val="005A171C"/>
    <w:rPr>
      <w:rFonts w:ascii="Arial" w:eastAsia="Arial" w:hAnsi="Arial" w:cs="Arial"/>
    </w:rPr>
  </w:style>
  <w:style w:type="paragraph" w:styleId="Footer">
    <w:name w:val="footer"/>
    <w:basedOn w:val="Normal"/>
    <w:link w:val="FooterChar"/>
    <w:uiPriority w:val="99"/>
    <w:unhideWhenUsed/>
    <w:rsid w:val="005A171C"/>
    <w:pPr>
      <w:tabs>
        <w:tab w:val="center" w:pos="4513"/>
        <w:tab w:val="right" w:pos="9026"/>
      </w:tabs>
    </w:pPr>
  </w:style>
  <w:style w:type="character" w:customStyle="1" w:styleId="FooterChar">
    <w:name w:val="Footer Char"/>
    <w:basedOn w:val="DefaultParagraphFont"/>
    <w:link w:val="Footer"/>
    <w:uiPriority w:val="99"/>
    <w:rsid w:val="005A171C"/>
    <w:rPr>
      <w:rFonts w:ascii="Arial" w:eastAsia="Arial" w:hAnsi="Arial" w:cs="Arial"/>
    </w:rPr>
  </w:style>
  <w:style w:type="paragraph" w:styleId="BalloonText">
    <w:name w:val="Balloon Text"/>
    <w:basedOn w:val="Normal"/>
    <w:link w:val="BalloonTextChar"/>
    <w:uiPriority w:val="99"/>
    <w:semiHidden/>
    <w:unhideWhenUsed/>
    <w:rsid w:val="00D914A0"/>
    <w:rPr>
      <w:rFonts w:ascii="Tahoma" w:hAnsi="Tahoma" w:cs="Tahoma"/>
      <w:sz w:val="16"/>
      <w:szCs w:val="16"/>
    </w:rPr>
  </w:style>
  <w:style w:type="character" w:customStyle="1" w:styleId="BalloonTextChar">
    <w:name w:val="Balloon Text Char"/>
    <w:basedOn w:val="DefaultParagraphFont"/>
    <w:link w:val="BalloonText"/>
    <w:uiPriority w:val="99"/>
    <w:semiHidden/>
    <w:rsid w:val="00D914A0"/>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spacing w:before="199"/>
      <w:ind w:left="820" w:right="14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A171C"/>
    <w:pPr>
      <w:tabs>
        <w:tab w:val="center" w:pos="4513"/>
        <w:tab w:val="right" w:pos="9026"/>
      </w:tabs>
    </w:pPr>
  </w:style>
  <w:style w:type="character" w:customStyle="1" w:styleId="HeaderChar">
    <w:name w:val="Header Char"/>
    <w:basedOn w:val="DefaultParagraphFont"/>
    <w:link w:val="Header"/>
    <w:uiPriority w:val="99"/>
    <w:rsid w:val="005A171C"/>
    <w:rPr>
      <w:rFonts w:ascii="Arial" w:eastAsia="Arial" w:hAnsi="Arial" w:cs="Arial"/>
    </w:rPr>
  </w:style>
  <w:style w:type="paragraph" w:styleId="Footer">
    <w:name w:val="footer"/>
    <w:basedOn w:val="Normal"/>
    <w:link w:val="FooterChar"/>
    <w:uiPriority w:val="99"/>
    <w:unhideWhenUsed/>
    <w:rsid w:val="005A171C"/>
    <w:pPr>
      <w:tabs>
        <w:tab w:val="center" w:pos="4513"/>
        <w:tab w:val="right" w:pos="9026"/>
      </w:tabs>
    </w:pPr>
  </w:style>
  <w:style w:type="character" w:customStyle="1" w:styleId="FooterChar">
    <w:name w:val="Footer Char"/>
    <w:basedOn w:val="DefaultParagraphFont"/>
    <w:link w:val="Footer"/>
    <w:uiPriority w:val="99"/>
    <w:rsid w:val="005A171C"/>
    <w:rPr>
      <w:rFonts w:ascii="Arial" w:eastAsia="Arial" w:hAnsi="Arial" w:cs="Arial"/>
    </w:rPr>
  </w:style>
  <w:style w:type="paragraph" w:styleId="BalloonText">
    <w:name w:val="Balloon Text"/>
    <w:basedOn w:val="Normal"/>
    <w:link w:val="BalloonTextChar"/>
    <w:uiPriority w:val="99"/>
    <w:semiHidden/>
    <w:unhideWhenUsed/>
    <w:rsid w:val="00D914A0"/>
    <w:rPr>
      <w:rFonts w:ascii="Tahoma" w:hAnsi="Tahoma" w:cs="Tahoma"/>
      <w:sz w:val="16"/>
      <w:szCs w:val="16"/>
    </w:rPr>
  </w:style>
  <w:style w:type="character" w:customStyle="1" w:styleId="BalloonTextChar">
    <w:name w:val="Balloon Text Char"/>
    <w:basedOn w:val="DefaultParagraphFont"/>
    <w:link w:val="BalloonText"/>
    <w:uiPriority w:val="99"/>
    <w:semiHidden/>
    <w:rsid w:val="00D914A0"/>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afetyandlearningenquiries@nhsl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2017-08-18T15:18:00Z</dcterms:created>
  <dcterms:modified xsi:type="dcterms:W3CDTF">2017-08-18T15:18:00Z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2015-08-17T00:00:00Z</vt:filetime>
  </property>
  <property fmtid="{D5CDD505-2E9C-101B-9397-08002B2CF9AE}" pid="3" name="Creator">
    <vt:lpwstr>Microsoft® Word 2010</vt:lpwstr>
  </property>
  <property fmtid="{D5CDD505-2E9C-101B-9397-08002B2CF9AE}" pid="4" name="LastSaved">
    <vt:filetime>2017-08-18T00:00:00Z</vt:filetime>
  </property>
</Properties>
</file>