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EA" w:rsidRDefault="00F063EA">
      <w:pPr>
        <w:pStyle w:val="BodyText"/>
        <w:spacing w:before="9"/>
        <w:rPr>
          <w:rFonts w:ascii="Times New Roman"/>
          <w:sz w:val="12"/>
        </w:rPr>
      </w:pPr>
    </w:p>
    <w:p w:rsidR="00F063EA" w:rsidRDefault="00A45DF5">
      <w:pPr>
        <w:spacing w:before="92"/>
        <w:ind w:left="100"/>
        <w:rPr>
          <w:b/>
          <w:sz w:val="28"/>
        </w:rPr>
      </w:pPr>
      <w:r>
        <w:rPr>
          <w:b/>
          <w:sz w:val="28"/>
        </w:rPr>
        <w:t>Examples of successful b</w:t>
      </w:r>
      <w:r>
        <w:rPr>
          <w:b/>
          <w:sz w:val="28"/>
        </w:rPr>
        <w:t>ids</w:t>
      </w:r>
    </w:p>
    <w:p w:rsidR="00F063EA" w:rsidRDefault="00A45DF5">
      <w:pPr>
        <w:pStyle w:val="BodyText"/>
        <w:spacing w:before="248" w:line="278" w:lineRule="auto"/>
        <w:ind w:left="100" w:right="539"/>
      </w:pPr>
      <w:r>
        <w:t>What follows are four examples of successful bids relating to areas in the top five themes of successful bids?</w:t>
      </w:r>
    </w:p>
    <w:p w:rsidR="00F063EA" w:rsidRDefault="00A45DF5">
      <w:pPr>
        <w:pStyle w:val="Heading1"/>
        <w:numPr>
          <w:ilvl w:val="0"/>
          <w:numId w:val="2"/>
        </w:numPr>
        <w:tabs>
          <w:tab w:val="left" w:pos="821"/>
        </w:tabs>
        <w:spacing w:before="196"/>
        <w:ind w:hanging="20"/>
        <w:jc w:val="left"/>
      </w:pPr>
      <w:r>
        <w:rPr>
          <w:color w:val="0071C5"/>
        </w:rPr>
        <w:t>Maternity Case Study (The Leeds Teaching Hospitals NHS</w:t>
      </w:r>
      <w:r>
        <w:rPr>
          <w:color w:val="0071C5"/>
          <w:spacing w:val="-17"/>
        </w:rPr>
        <w:t xml:space="preserve"> </w:t>
      </w:r>
      <w:r>
        <w:rPr>
          <w:color w:val="0071C5"/>
        </w:rPr>
        <w:t>Trust)</w:t>
      </w:r>
    </w:p>
    <w:p w:rsidR="00F063EA" w:rsidRDefault="00F063EA">
      <w:pPr>
        <w:pStyle w:val="BodyText"/>
        <w:rPr>
          <w:b/>
          <w:sz w:val="21"/>
        </w:rPr>
      </w:pPr>
    </w:p>
    <w:p w:rsidR="00F063EA" w:rsidRDefault="00A45DF5">
      <w:pPr>
        <w:pStyle w:val="BodyText"/>
        <w:spacing w:line="276" w:lineRule="auto"/>
        <w:ind w:left="820" w:right="285"/>
      </w:pPr>
      <w:r>
        <w:t>The main goal of this bid is to reduce the harm and associated costs in relation to wrongful birth, loss of a baby and care delivery events. If the Trust implemented these goals, by March 2018 it could:</w:t>
      </w:r>
    </w:p>
    <w:p w:rsidR="00F063EA" w:rsidRDefault="00A45DF5">
      <w:pPr>
        <w:pStyle w:val="ListParagraph"/>
        <w:numPr>
          <w:ilvl w:val="1"/>
          <w:numId w:val="2"/>
        </w:numPr>
        <w:tabs>
          <w:tab w:val="left" w:pos="1540"/>
          <w:tab w:val="left" w:pos="1541"/>
        </w:tabs>
        <w:spacing w:before="202"/>
        <w:rPr>
          <w:sz w:val="24"/>
        </w:rPr>
      </w:pPr>
      <w:r>
        <w:rPr>
          <w:sz w:val="24"/>
        </w:rPr>
        <w:t>Reduce wrongful birth by</w:t>
      </w:r>
      <w:r>
        <w:rPr>
          <w:spacing w:val="-10"/>
          <w:sz w:val="24"/>
        </w:rPr>
        <w:t xml:space="preserve"> </w:t>
      </w:r>
      <w:r>
        <w:rPr>
          <w:sz w:val="24"/>
        </w:rPr>
        <w:t>50%.</w:t>
      </w:r>
    </w:p>
    <w:p w:rsidR="00F063EA" w:rsidRDefault="00A45DF5">
      <w:pPr>
        <w:pStyle w:val="ListParagraph"/>
        <w:numPr>
          <w:ilvl w:val="1"/>
          <w:numId w:val="2"/>
        </w:numPr>
        <w:tabs>
          <w:tab w:val="left" w:pos="1540"/>
          <w:tab w:val="left" w:pos="1541"/>
        </w:tabs>
        <w:spacing w:before="238"/>
        <w:rPr>
          <w:sz w:val="24"/>
        </w:rPr>
      </w:pPr>
      <w:r>
        <w:rPr>
          <w:sz w:val="24"/>
        </w:rPr>
        <w:t>Reduce loss of a baby b</w:t>
      </w:r>
      <w:r>
        <w:rPr>
          <w:sz w:val="24"/>
        </w:rPr>
        <w:t>y</w:t>
      </w:r>
      <w:r>
        <w:rPr>
          <w:spacing w:val="-12"/>
          <w:sz w:val="24"/>
        </w:rPr>
        <w:t xml:space="preserve"> </w:t>
      </w:r>
      <w:r>
        <w:rPr>
          <w:sz w:val="24"/>
        </w:rPr>
        <w:t>50%.</w:t>
      </w:r>
    </w:p>
    <w:p w:rsidR="00F063EA" w:rsidRDefault="00A45DF5">
      <w:pPr>
        <w:pStyle w:val="ListParagraph"/>
        <w:numPr>
          <w:ilvl w:val="1"/>
          <w:numId w:val="2"/>
        </w:numPr>
        <w:tabs>
          <w:tab w:val="left" w:pos="1540"/>
          <w:tab w:val="left" w:pos="1541"/>
        </w:tabs>
        <w:spacing w:before="235" w:line="273" w:lineRule="auto"/>
        <w:ind w:right="1416"/>
        <w:rPr>
          <w:sz w:val="24"/>
        </w:rPr>
      </w:pPr>
      <w:r>
        <w:rPr>
          <w:sz w:val="24"/>
        </w:rPr>
        <w:t>Reduce care delivery events resulting in cerebral palsy and developmental delay by</w:t>
      </w:r>
      <w:r>
        <w:rPr>
          <w:spacing w:val="-13"/>
          <w:sz w:val="24"/>
        </w:rPr>
        <w:t xml:space="preserve"> </w:t>
      </w:r>
      <w:r>
        <w:rPr>
          <w:sz w:val="24"/>
        </w:rPr>
        <w:t>50%.</w:t>
      </w:r>
    </w:p>
    <w:p w:rsidR="00F063EA" w:rsidRDefault="00A45DF5">
      <w:pPr>
        <w:pStyle w:val="BodyText"/>
        <w:spacing w:before="204" w:line="276" w:lineRule="auto"/>
        <w:ind w:left="820" w:right="476"/>
        <w:jc w:val="both"/>
      </w:pPr>
      <w:r>
        <w:t xml:space="preserve">Implementing these goals would represent </w:t>
      </w:r>
      <w:r>
        <w:t>significant  improvements  to the safety of its maternity patients and substantial financial savings to the organisatio</w:t>
      </w:r>
      <w:r>
        <w:t>n and wider NHS.</w:t>
      </w:r>
    </w:p>
    <w:p w:rsidR="00F063EA" w:rsidRDefault="00A45DF5">
      <w:pPr>
        <w:pStyle w:val="Heading1"/>
        <w:spacing w:before="202"/>
        <w:ind w:left="820"/>
      </w:pPr>
      <w:r>
        <w:t>What will they do and why did they choose it?</w:t>
      </w:r>
    </w:p>
    <w:p w:rsidR="00F063EA" w:rsidRDefault="00F063EA">
      <w:pPr>
        <w:pStyle w:val="BodyText"/>
        <w:rPr>
          <w:b/>
          <w:sz w:val="21"/>
        </w:rPr>
      </w:pPr>
    </w:p>
    <w:p w:rsidR="00F063EA" w:rsidRDefault="00A45DF5">
      <w:pPr>
        <w:pStyle w:val="BodyText"/>
        <w:spacing w:before="1" w:line="276" w:lineRule="auto"/>
        <w:ind w:left="820" w:right="565"/>
      </w:pPr>
      <w:r>
        <w:t>Maternity Services in general have an established high risk profile and the Trust has one of the largest maternity units in the country, delivering a complex tertiary care service to a diverse population.</w:t>
      </w:r>
    </w:p>
    <w:p w:rsidR="00F063EA" w:rsidRDefault="00A45DF5">
      <w:pPr>
        <w:pStyle w:val="BodyText"/>
        <w:spacing w:before="202" w:line="276" w:lineRule="auto"/>
        <w:ind w:left="820" w:right="192"/>
      </w:pPr>
      <w:r>
        <w:t xml:space="preserve">Data for the Trust shows that those claims falling </w:t>
      </w:r>
      <w:r>
        <w:t>into the red category on the score card solely relate to Obstetrics. Obstetric claims account for a significant proportion of the total value of claims within the Trust; nationally obstetric claims account for the highest volume and highest value of claims</w:t>
      </w:r>
      <w:r>
        <w:t xml:space="preserve"> at NHS Resolution</w:t>
      </w:r>
      <w:r>
        <w:t>.</w:t>
      </w:r>
    </w:p>
    <w:p w:rsidR="00F063EA" w:rsidRDefault="00A45DF5">
      <w:pPr>
        <w:pStyle w:val="BodyText"/>
        <w:spacing w:before="199" w:line="276" w:lineRule="auto"/>
        <w:ind w:left="820"/>
      </w:pPr>
      <w:r>
        <w:t>Looking at the claims in detail and by incident type the top 5 incident types in descending order are: Failure to adequately monitor the 1st stage of labour; failure to diagnose/delay in diagnosis; failure to monitor 2nd stage of labour; pe</w:t>
      </w:r>
      <w:r>
        <w:t>rineal tear (1st, 2nd and 3rd degree tear); and failure to recognise a complication of treatment.</w:t>
      </w:r>
    </w:p>
    <w:p w:rsidR="00F063EA" w:rsidRDefault="00A45DF5">
      <w:pPr>
        <w:pStyle w:val="Heading1"/>
        <w:spacing w:before="202"/>
        <w:ind w:left="820"/>
      </w:pPr>
      <w:r>
        <w:t>The key actions of this bid are:</w:t>
      </w:r>
    </w:p>
    <w:p w:rsidR="00F063EA" w:rsidRDefault="00F063EA">
      <w:pPr>
        <w:pStyle w:val="BodyText"/>
        <w:spacing w:before="8"/>
        <w:rPr>
          <w:b/>
          <w:sz w:val="20"/>
        </w:rPr>
      </w:pPr>
    </w:p>
    <w:p w:rsidR="00F063EA" w:rsidRDefault="00A45DF5">
      <w:pPr>
        <w:pStyle w:val="ListParagraph"/>
        <w:numPr>
          <w:ilvl w:val="1"/>
          <w:numId w:val="2"/>
        </w:numPr>
        <w:tabs>
          <w:tab w:val="left" w:pos="1540"/>
          <w:tab w:val="left" w:pos="1541"/>
        </w:tabs>
        <w:spacing w:before="0" w:line="273" w:lineRule="auto"/>
        <w:ind w:right="354"/>
        <w:rPr>
          <w:sz w:val="24"/>
        </w:rPr>
      </w:pPr>
      <w:r>
        <w:rPr>
          <w:sz w:val="24"/>
        </w:rPr>
        <w:t>to reduce the cost of harm in relation to wrongful births will be to ensure compliance with the National Screening Committee</w:t>
      </w:r>
      <w:r>
        <w:rPr>
          <w:sz w:val="24"/>
        </w:rPr>
        <w:t xml:space="preserve"> standards with a focus on training, resources and</w:t>
      </w:r>
      <w:r>
        <w:rPr>
          <w:spacing w:val="-17"/>
          <w:sz w:val="24"/>
        </w:rPr>
        <w:t xml:space="preserve"> </w:t>
      </w:r>
      <w:r>
        <w:rPr>
          <w:sz w:val="24"/>
        </w:rPr>
        <w:t>equipment</w:t>
      </w:r>
    </w:p>
    <w:p w:rsidR="00F063EA" w:rsidRDefault="00F063EA">
      <w:pPr>
        <w:spacing w:line="273" w:lineRule="auto"/>
        <w:rPr>
          <w:sz w:val="24"/>
        </w:rPr>
        <w:sectPr w:rsidR="00F063EA">
          <w:headerReference w:type="default" r:id="rId8"/>
          <w:footerReference w:type="default" r:id="rId9"/>
          <w:type w:val="continuous"/>
          <w:pgSz w:w="11910" w:h="16840"/>
          <w:pgMar w:top="1660" w:right="1320" w:bottom="1220" w:left="1340" w:header="708" w:footer="1039" w:gutter="0"/>
          <w:pgNumType w:start="1"/>
          <w:cols w:space="720"/>
        </w:sectPr>
      </w:pPr>
    </w:p>
    <w:p w:rsidR="00F063EA" w:rsidRDefault="00F063EA">
      <w:pPr>
        <w:pStyle w:val="BodyText"/>
        <w:rPr>
          <w:sz w:val="12"/>
        </w:rPr>
      </w:pPr>
    </w:p>
    <w:p w:rsidR="00F063EA" w:rsidRDefault="00A45DF5">
      <w:pPr>
        <w:pStyle w:val="ListParagraph"/>
        <w:numPr>
          <w:ilvl w:val="0"/>
          <w:numId w:val="1"/>
        </w:numPr>
        <w:tabs>
          <w:tab w:val="left" w:pos="1200"/>
          <w:tab w:val="left" w:pos="1201"/>
        </w:tabs>
        <w:spacing w:line="276" w:lineRule="auto"/>
        <w:ind w:right="169"/>
        <w:rPr>
          <w:sz w:val="24"/>
        </w:rPr>
      </w:pPr>
      <w:r>
        <w:rPr>
          <w:sz w:val="24"/>
        </w:rPr>
        <w:t>to reduce the cost of harm in relation to the loss of baby will be to support implementation of the Saving Babies Lives Bundle with a focus on training , resources and leadership particularly in relation to strengthening links with public health, and monitoring fetal wellbeing ante</w:t>
      </w:r>
      <w:r>
        <w:rPr>
          <w:sz w:val="24"/>
        </w:rPr>
        <w:t>natally</w:t>
      </w:r>
    </w:p>
    <w:p w:rsidR="00F063EA" w:rsidRDefault="00A45DF5">
      <w:pPr>
        <w:pStyle w:val="ListParagraph"/>
        <w:numPr>
          <w:ilvl w:val="0"/>
          <w:numId w:val="1"/>
        </w:numPr>
        <w:tabs>
          <w:tab w:val="left" w:pos="1200"/>
          <w:tab w:val="left" w:pos="1201"/>
        </w:tabs>
        <w:spacing w:before="199" w:line="273" w:lineRule="auto"/>
        <w:ind w:right="652"/>
        <w:rPr>
          <w:sz w:val="24"/>
        </w:rPr>
      </w:pPr>
      <w:r>
        <w:rPr>
          <w:sz w:val="24"/>
        </w:rPr>
        <w:t>to reduce the cost of harm in relation to care delivery events with</w:t>
      </w:r>
      <w:r>
        <w:rPr>
          <w:spacing w:val="-28"/>
          <w:sz w:val="24"/>
        </w:rPr>
        <w:t xml:space="preserve"> </w:t>
      </w:r>
      <w:r>
        <w:rPr>
          <w:sz w:val="24"/>
        </w:rPr>
        <w:t>a focus on training in relation to monitoring fetal wellbeing in the intrapartum</w:t>
      </w:r>
      <w:r>
        <w:rPr>
          <w:spacing w:val="-8"/>
          <w:sz w:val="24"/>
        </w:rPr>
        <w:t xml:space="preserve"> </w:t>
      </w:r>
      <w:r>
        <w:rPr>
          <w:sz w:val="24"/>
        </w:rPr>
        <w:t>period.</w:t>
      </w:r>
    </w:p>
    <w:p w:rsidR="00F063EA" w:rsidRDefault="00A45DF5">
      <w:pPr>
        <w:pStyle w:val="Heading1"/>
        <w:numPr>
          <w:ilvl w:val="0"/>
          <w:numId w:val="2"/>
        </w:numPr>
        <w:tabs>
          <w:tab w:val="left" w:pos="481"/>
        </w:tabs>
        <w:spacing w:before="204" w:line="448" w:lineRule="auto"/>
        <w:ind w:right="2239"/>
        <w:jc w:val="left"/>
      </w:pPr>
      <w:r>
        <w:rPr>
          <w:color w:val="0071C5"/>
        </w:rPr>
        <w:t>Safety Culture (Frimley Health NHS Foundation Trust)</w:t>
      </w:r>
      <w:r>
        <w:t xml:space="preserve"> What it is </w:t>
      </w:r>
      <w:r>
        <w:t>and why did they choose</w:t>
      </w:r>
      <w:r>
        <w:rPr>
          <w:spacing w:val="-11"/>
        </w:rPr>
        <w:t xml:space="preserve"> </w:t>
      </w:r>
      <w:r>
        <w:t>it?</w:t>
      </w:r>
    </w:p>
    <w:p w:rsidR="00F063EA" w:rsidRDefault="00A45DF5">
      <w:pPr>
        <w:pStyle w:val="BodyText"/>
        <w:spacing w:before="9" w:line="276" w:lineRule="auto"/>
        <w:ind w:left="480" w:right="379"/>
      </w:pPr>
      <w:r>
        <w:t>The Trust identified that there were claims directly associated with the consent process for patients. The key areas identified for improvement from these events were to:</w:t>
      </w:r>
    </w:p>
    <w:p w:rsidR="00F063EA" w:rsidRDefault="00A45DF5">
      <w:pPr>
        <w:pStyle w:val="ListParagraph"/>
        <w:numPr>
          <w:ilvl w:val="1"/>
          <w:numId w:val="2"/>
        </w:numPr>
        <w:tabs>
          <w:tab w:val="left" w:pos="1200"/>
          <w:tab w:val="left" w:pos="1201"/>
        </w:tabs>
        <w:spacing w:before="200" w:line="276" w:lineRule="auto"/>
        <w:ind w:left="1200" w:right="623"/>
        <w:rPr>
          <w:sz w:val="24"/>
        </w:rPr>
      </w:pPr>
      <w:r>
        <w:rPr>
          <w:sz w:val="24"/>
        </w:rPr>
        <w:t>ensure that patients are advised of the risks/benefits of</w:t>
      </w:r>
      <w:r>
        <w:rPr>
          <w:sz w:val="24"/>
        </w:rPr>
        <w:t xml:space="preserve"> a proposed treatment/procedure in order to maximise patient involvement and choice to reduce the likelihood of dissatisfaction in the event that a known risk</w:t>
      </w:r>
      <w:r>
        <w:rPr>
          <w:spacing w:val="-4"/>
          <w:sz w:val="24"/>
        </w:rPr>
        <w:t xml:space="preserve"> </w:t>
      </w:r>
      <w:r>
        <w:rPr>
          <w:sz w:val="24"/>
        </w:rPr>
        <w:t>occurs</w:t>
      </w:r>
    </w:p>
    <w:p w:rsidR="00F063EA" w:rsidRDefault="00A45DF5">
      <w:pPr>
        <w:pStyle w:val="ListParagraph"/>
        <w:numPr>
          <w:ilvl w:val="1"/>
          <w:numId w:val="2"/>
        </w:numPr>
        <w:tabs>
          <w:tab w:val="left" w:pos="1200"/>
          <w:tab w:val="left" w:pos="1201"/>
        </w:tabs>
        <w:spacing w:before="200" w:line="273" w:lineRule="auto"/>
        <w:ind w:left="1200" w:right="636"/>
        <w:rPr>
          <w:sz w:val="24"/>
        </w:rPr>
      </w:pPr>
      <w:r>
        <w:rPr>
          <w:sz w:val="24"/>
        </w:rPr>
        <w:t>reduce the number and cost of claims associated with a failure to adequately inform patien</w:t>
      </w:r>
      <w:r>
        <w:rPr>
          <w:sz w:val="24"/>
        </w:rPr>
        <w:t>ts of the risks associated with the planned treatment/procedure.</w:t>
      </w:r>
    </w:p>
    <w:p w:rsidR="00F063EA" w:rsidRDefault="00A45DF5">
      <w:pPr>
        <w:pStyle w:val="Heading1"/>
        <w:spacing w:before="204"/>
      </w:pPr>
      <w:r>
        <w:t>What will they do?</w:t>
      </w:r>
    </w:p>
    <w:p w:rsidR="00F063EA" w:rsidRDefault="00F063EA">
      <w:pPr>
        <w:pStyle w:val="BodyText"/>
        <w:spacing w:before="9"/>
        <w:rPr>
          <w:b/>
          <w:sz w:val="20"/>
        </w:rPr>
      </w:pPr>
    </w:p>
    <w:p w:rsidR="00F063EA" w:rsidRDefault="00A45DF5">
      <w:pPr>
        <w:pStyle w:val="BodyText"/>
        <w:spacing w:line="276" w:lineRule="auto"/>
        <w:ind w:left="480" w:right="178"/>
      </w:pPr>
      <w:r>
        <w:t>Appoint a Consultant lead ( one day per week) who will be responsible for Audit and review of existing consent procedures and ensure there is a particular focus on educati</w:t>
      </w:r>
      <w:r>
        <w:t>on and training for Consultants and the revalidation of consultants will be developed to include a review of settled claims. Another key focus will be to practise and strengthen links to internal morbidity and mortality meetings to incorporate the themes t</w:t>
      </w:r>
      <w:r>
        <w:t>hat give rise to claims.</w:t>
      </w:r>
    </w:p>
    <w:p w:rsidR="00F063EA" w:rsidRDefault="00A45DF5">
      <w:pPr>
        <w:pStyle w:val="BodyText"/>
        <w:spacing w:before="199" w:line="276" w:lineRule="auto"/>
        <w:ind w:left="480" w:right="285"/>
      </w:pPr>
      <w:r>
        <w:t>Appoint 2 senior nurses lead who (in collaboration with consultant) will be responsible for reviewing consent process, patient documentation and understanding at specialty level. They will conduct baseline audit on the quality of consent and make recommend</w:t>
      </w:r>
      <w:r>
        <w:t>ations for improvements and deliver education and training to staff. These roles will also have a responsibility for the quality of patient information around the consent process and patient engagement in these improvements.</w:t>
      </w:r>
    </w:p>
    <w:p w:rsidR="00F063EA" w:rsidRDefault="00F063EA">
      <w:pPr>
        <w:spacing w:line="276" w:lineRule="auto"/>
        <w:sectPr w:rsidR="00F063EA">
          <w:pgSz w:w="11910" w:h="16840"/>
          <w:pgMar w:top="1660" w:right="1320" w:bottom="1220" w:left="1680" w:header="708" w:footer="1039" w:gutter="0"/>
          <w:cols w:space="720"/>
        </w:sectPr>
      </w:pPr>
    </w:p>
    <w:p w:rsidR="00F063EA" w:rsidRDefault="00F063EA">
      <w:pPr>
        <w:pStyle w:val="BodyText"/>
        <w:spacing w:before="10"/>
        <w:rPr>
          <w:sz w:val="12"/>
        </w:rPr>
      </w:pPr>
    </w:p>
    <w:p w:rsidR="00F063EA" w:rsidRDefault="00A45DF5">
      <w:pPr>
        <w:pStyle w:val="Heading1"/>
        <w:numPr>
          <w:ilvl w:val="0"/>
          <w:numId w:val="2"/>
        </w:numPr>
        <w:tabs>
          <w:tab w:val="left" w:pos="481"/>
        </w:tabs>
        <w:spacing w:before="92" w:line="276" w:lineRule="auto"/>
        <w:ind w:right="465"/>
        <w:jc w:val="left"/>
      </w:pPr>
      <w:r>
        <w:rPr>
          <w:color w:val="0071C5"/>
        </w:rPr>
        <w:t>Human Factor</w:t>
      </w:r>
      <w:r>
        <w:rPr>
          <w:color w:val="0071C5"/>
        </w:rPr>
        <w:t>s (University hospitals Coventry and Warwickshire NHS Trust)</w:t>
      </w:r>
    </w:p>
    <w:p w:rsidR="00F063EA" w:rsidRDefault="00A45DF5">
      <w:pPr>
        <w:spacing w:before="201"/>
        <w:ind w:left="480"/>
        <w:rPr>
          <w:b/>
          <w:sz w:val="24"/>
        </w:rPr>
      </w:pPr>
      <w:r>
        <w:rPr>
          <w:b/>
          <w:sz w:val="24"/>
        </w:rPr>
        <w:t>What it is?</w:t>
      </w:r>
    </w:p>
    <w:p w:rsidR="00F063EA" w:rsidRDefault="00F063EA">
      <w:pPr>
        <w:pStyle w:val="BodyText"/>
        <w:spacing w:before="9"/>
        <w:rPr>
          <w:b/>
          <w:sz w:val="20"/>
        </w:rPr>
      </w:pPr>
    </w:p>
    <w:p w:rsidR="00F063EA" w:rsidRDefault="00A45DF5">
      <w:pPr>
        <w:pStyle w:val="BodyText"/>
        <w:spacing w:line="276" w:lineRule="auto"/>
        <w:ind w:left="480" w:right="325"/>
      </w:pPr>
      <w:r>
        <w:t>Through root cause analysis the Trust identified Human Factors (HF) as contributory factors in three of the high volume/high value claims specialities (Trauma &amp; Orthopaedics, Emergen</w:t>
      </w:r>
      <w:r>
        <w:t>cy Department &amp; Theatres).</w:t>
      </w:r>
    </w:p>
    <w:p w:rsidR="00F063EA" w:rsidRDefault="00A45DF5">
      <w:pPr>
        <w:pStyle w:val="BodyText"/>
        <w:spacing w:before="199" w:line="276" w:lineRule="auto"/>
        <w:ind w:left="480" w:right="112"/>
      </w:pPr>
      <w:r>
        <w:t>The Trust have undertaken some external HF training and now believe that in- house specialists could transform the culture of the organisation from within, thus embedding the behaviours and values that they are aiming for to redu</w:t>
      </w:r>
      <w:r>
        <w:t>ce claims and harm for their patients and indeed staff</w:t>
      </w:r>
    </w:p>
    <w:p w:rsidR="00F063EA" w:rsidRDefault="00A45DF5">
      <w:pPr>
        <w:pStyle w:val="Heading1"/>
      </w:pPr>
      <w:r>
        <w:t>What will they do and why did they chose it?</w:t>
      </w:r>
    </w:p>
    <w:p w:rsidR="00F063EA" w:rsidRDefault="00F063EA">
      <w:pPr>
        <w:pStyle w:val="BodyText"/>
        <w:spacing w:before="1"/>
        <w:rPr>
          <w:b/>
          <w:sz w:val="21"/>
        </w:rPr>
      </w:pPr>
    </w:p>
    <w:p w:rsidR="00F063EA" w:rsidRDefault="00A45DF5">
      <w:pPr>
        <w:pStyle w:val="BodyText"/>
        <w:spacing w:line="276" w:lineRule="auto"/>
        <w:ind w:left="480" w:right="139"/>
      </w:pPr>
      <w:r>
        <w:t>“Risk facilitators” will be established to implement a systematic programme of Human Factors training and awareness, leading to a cohort of Human Factors e</w:t>
      </w:r>
      <w:r>
        <w:t>xperts and trainers in the three identified areas Trauma &amp; Orthopaedics, Emergency department &amp; Theatres</w:t>
      </w:r>
    </w:p>
    <w:p w:rsidR="00F063EA" w:rsidRDefault="00A45DF5">
      <w:pPr>
        <w:pStyle w:val="BodyText"/>
        <w:spacing w:before="199" w:line="276" w:lineRule="auto"/>
        <w:ind w:left="480" w:right="379"/>
      </w:pPr>
      <w:r>
        <w:t>Innovation workshops were held to identify creative ideas that might have a positive impact on the safety in Theatres. The outcome was to trial an audi</w:t>
      </w:r>
      <w:r>
        <w:t>o surgical site checklist to engage more fully and minimise the potential for surgical errors. If this proves successful it could prove a valuable Human Factors tool.</w:t>
      </w:r>
    </w:p>
    <w:p w:rsidR="00F063EA" w:rsidRDefault="00A45DF5">
      <w:pPr>
        <w:pStyle w:val="Heading1"/>
        <w:numPr>
          <w:ilvl w:val="0"/>
          <w:numId w:val="2"/>
        </w:numPr>
        <w:tabs>
          <w:tab w:val="left" w:pos="481"/>
        </w:tabs>
        <w:spacing w:before="202"/>
        <w:jc w:val="left"/>
      </w:pPr>
      <w:r>
        <w:rPr>
          <w:color w:val="0071C5"/>
        </w:rPr>
        <w:t>Accident &amp;</w:t>
      </w:r>
      <w:r>
        <w:rPr>
          <w:color w:val="0071C5"/>
          <w:spacing w:val="-5"/>
        </w:rPr>
        <w:t xml:space="preserve"> </w:t>
      </w:r>
      <w:r>
        <w:rPr>
          <w:color w:val="0071C5"/>
        </w:rPr>
        <w:t>Emergency</w:t>
      </w:r>
    </w:p>
    <w:p w:rsidR="00F063EA" w:rsidRDefault="00F063EA">
      <w:pPr>
        <w:pStyle w:val="BodyText"/>
        <w:spacing w:before="10"/>
        <w:rPr>
          <w:b/>
          <w:sz w:val="20"/>
        </w:rPr>
      </w:pPr>
    </w:p>
    <w:p w:rsidR="00F063EA" w:rsidRDefault="00A45DF5">
      <w:pPr>
        <w:spacing w:line="451" w:lineRule="auto"/>
        <w:ind w:left="480" w:right="2809"/>
        <w:rPr>
          <w:b/>
          <w:sz w:val="24"/>
        </w:rPr>
      </w:pPr>
      <w:r>
        <w:rPr>
          <w:b/>
          <w:sz w:val="24"/>
        </w:rPr>
        <w:t>City Hospitals Sunderland NHS Foundation Trust What it is?</w:t>
      </w:r>
    </w:p>
    <w:p w:rsidR="00F063EA" w:rsidRDefault="00A45DF5">
      <w:pPr>
        <w:spacing w:before="6"/>
        <w:ind w:left="480"/>
        <w:rPr>
          <w:b/>
          <w:sz w:val="24"/>
        </w:rPr>
      </w:pPr>
      <w:r>
        <w:rPr>
          <w:b/>
          <w:sz w:val="24"/>
        </w:rPr>
        <w:t>Improved identification of fractures</w:t>
      </w:r>
    </w:p>
    <w:p w:rsidR="00F063EA" w:rsidRDefault="00F063EA">
      <w:pPr>
        <w:pStyle w:val="BodyText"/>
        <w:spacing w:before="9"/>
        <w:rPr>
          <w:b/>
          <w:sz w:val="20"/>
        </w:rPr>
      </w:pPr>
    </w:p>
    <w:p w:rsidR="00F063EA" w:rsidRDefault="00A45DF5">
      <w:pPr>
        <w:pStyle w:val="BodyText"/>
        <w:spacing w:before="1" w:line="276" w:lineRule="auto"/>
        <w:ind w:left="480" w:right="151"/>
      </w:pPr>
      <w:r>
        <w:t xml:space="preserve">The Trust has had 42 new claims in the last five years related to the failure to identify fractures and other clinical issues from x-rays. The Trust identified this as one of their priority areas of work with the goal </w:t>
      </w:r>
      <w:r>
        <w:t>of reducing missed fractures and other injuries identified via plain film to de minimis</w:t>
      </w:r>
      <w:r>
        <w:rPr>
          <w:spacing w:val="-25"/>
        </w:rPr>
        <w:t xml:space="preserve"> </w:t>
      </w:r>
      <w:r>
        <w:t>levels.</w:t>
      </w:r>
    </w:p>
    <w:p w:rsidR="00F063EA" w:rsidRDefault="00A45DF5">
      <w:pPr>
        <w:pStyle w:val="Heading1"/>
        <w:spacing w:line="451" w:lineRule="auto"/>
        <w:ind w:right="3169"/>
      </w:pPr>
      <w:r>
        <w:t xml:space="preserve">What will they do and why did they choose it? </w:t>
      </w:r>
      <w:bookmarkStart w:id="0" w:name="_GoBack"/>
      <w:bookmarkEnd w:id="0"/>
      <w:r>
        <w:t>Key actions:</w:t>
      </w:r>
    </w:p>
    <w:p w:rsidR="00F063EA" w:rsidRDefault="00A45DF5">
      <w:pPr>
        <w:pStyle w:val="ListParagraph"/>
        <w:numPr>
          <w:ilvl w:val="1"/>
          <w:numId w:val="2"/>
        </w:numPr>
        <w:tabs>
          <w:tab w:val="left" w:pos="1200"/>
          <w:tab w:val="left" w:pos="1201"/>
        </w:tabs>
        <w:spacing w:before="4" w:line="273" w:lineRule="auto"/>
        <w:ind w:left="1200" w:right="648"/>
        <w:rPr>
          <w:sz w:val="24"/>
        </w:rPr>
      </w:pPr>
      <w:r>
        <w:rPr>
          <w:sz w:val="24"/>
        </w:rPr>
        <w:t>Extend specialised reporting radiographer support in A&amp;</w:t>
      </w:r>
      <w:r>
        <w:rPr>
          <w:sz w:val="24"/>
        </w:rPr>
        <w:t>E from the current 8am – 6pm Monday – Friday model to seven day working including</w:t>
      </w:r>
      <w:r>
        <w:rPr>
          <w:spacing w:val="-5"/>
          <w:sz w:val="24"/>
        </w:rPr>
        <w:t xml:space="preserve"> </w:t>
      </w:r>
      <w:r>
        <w:rPr>
          <w:sz w:val="24"/>
        </w:rPr>
        <w:t>evenings</w:t>
      </w:r>
    </w:p>
    <w:p w:rsidR="00F063EA" w:rsidRDefault="00F063EA">
      <w:pPr>
        <w:spacing w:line="273" w:lineRule="auto"/>
        <w:rPr>
          <w:sz w:val="24"/>
        </w:rPr>
        <w:sectPr w:rsidR="00F063EA">
          <w:pgSz w:w="11910" w:h="16840"/>
          <w:pgMar w:top="1660" w:right="1320" w:bottom="1220" w:left="1680" w:header="708" w:footer="1039" w:gutter="0"/>
          <w:cols w:space="720"/>
        </w:sectPr>
      </w:pPr>
    </w:p>
    <w:p w:rsidR="00F063EA" w:rsidRDefault="00F063EA">
      <w:pPr>
        <w:pStyle w:val="BodyText"/>
        <w:rPr>
          <w:sz w:val="12"/>
        </w:rPr>
      </w:pPr>
    </w:p>
    <w:p w:rsidR="00F063EA" w:rsidRDefault="00A45DF5">
      <w:pPr>
        <w:pStyle w:val="ListParagraph"/>
        <w:numPr>
          <w:ilvl w:val="1"/>
          <w:numId w:val="2"/>
        </w:numPr>
        <w:tabs>
          <w:tab w:val="left" w:pos="1200"/>
          <w:tab w:val="left" w:pos="1201"/>
        </w:tabs>
        <w:spacing w:line="276" w:lineRule="auto"/>
        <w:ind w:left="1200" w:right="430"/>
        <w:rPr>
          <w:sz w:val="24"/>
        </w:rPr>
      </w:pPr>
      <w:r>
        <w:rPr>
          <w:sz w:val="24"/>
        </w:rPr>
        <w:t>Pilot the introduction of remote hot reporting with Reporting Radiographer support provided from staff’s home bases. Subject to timing and positiv</w:t>
      </w:r>
      <w:r>
        <w:rPr>
          <w:sz w:val="24"/>
        </w:rPr>
        <w:t>e early outcomes, the final phase of pilot implementation will be in place by the end of October 2015.The effectiveness of the extended hours model will be monitored by the A&amp;E clinical governance group, with oversight from the Trust Clinical Governance St</w:t>
      </w:r>
      <w:r>
        <w:rPr>
          <w:sz w:val="24"/>
        </w:rPr>
        <w:t>eering</w:t>
      </w:r>
      <w:r>
        <w:rPr>
          <w:spacing w:val="-10"/>
          <w:sz w:val="24"/>
        </w:rPr>
        <w:t xml:space="preserve"> </w:t>
      </w:r>
      <w:r>
        <w:rPr>
          <w:sz w:val="24"/>
        </w:rPr>
        <w:t>Group.</w:t>
      </w:r>
    </w:p>
    <w:p w:rsidR="00F063EA" w:rsidRDefault="00A45DF5">
      <w:pPr>
        <w:pStyle w:val="Heading1"/>
        <w:spacing w:before="199"/>
      </w:pPr>
      <w:r>
        <w:t>Benefits:</w:t>
      </w:r>
    </w:p>
    <w:p w:rsidR="00F063EA" w:rsidRDefault="00F063EA">
      <w:pPr>
        <w:pStyle w:val="BodyText"/>
        <w:rPr>
          <w:b/>
          <w:sz w:val="21"/>
        </w:rPr>
      </w:pPr>
    </w:p>
    <w:p w:rsidR="00F063EA" w:rsidRDefault="00A45DF5">
      <w:pPr>
        <w:pStyle w:val="BodyText"/>
        <w:spacing w:before="1" w:line="276" w:lineRule="auto"/>
        <w:ind w:left="480" w:right="129"/>
      </w:pPr>
      <w:r>
        <w:t xml:space="preserve">The provision of ‘hot reports’ mean that the correct radiological diagnosis is available while the patient is still on the premises and therefore, in principle, the only fractures which would then be missed would </w:t>
      </w:r>
      <w:r>
        <w:rPr>
          <w:spacing w:val="1"/>
        </w:rPr>
        <w:t xml:space="preserve">be </w:t>
      </w:r>
      <w:r>
        <w:t>those rare even</w:t>
      </w:r>
      <w:r>
        <w:t>ts which are not clear from x-ray results. A piece of research among CHS clinical staff in A&amp;E, carried out in the last 12 months, showed clinicians’ belief that a readily available x-ray report is very important (scored 10 on a scale of 1 – 10 by 34/75 re</w:t>
      </w:r>
      <w:r>
        <w:t>spondents) and 37 respondents also said that they would be just as confident with a reporting radiographer’s report as they would be with a consultant radiologist’s report. There are also significant potential cost benefits to be</w:t>
      </w:r>
      <w:r>
        <w:rPr>
          <w:spacing w:val="-8"/>
        </w:rPr>
        <w:t xml:space="preserve"> </w:t>
      </w:r>
      <w:r>
        <w:t>realised.</w:t>
      </w:r>
    </w:p>
    <w:sectPr w:rsidR="00F063EA">
      <w:pgSz w:w="11910" w:h="16840"/>
      <w:pgMar w:top="1660" w:right="1320" w:bottom="1220" w:left="1680" w:header="708"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5DF5">
      <w:r>
        <w:separator/>
      </w:r>
    </w:p>
  </w:endnote>
  <w:endnote w:type="continuationSeparator" w:id="0">
    <w:p w:rsidR="00000000" w:rsidRDefault="00A4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EA" w:rsidRDefault="00A45DF5">
    <w:pPr>
      <w:pStyle w:val="BodyText"/>
      <w:spacing w:line="14" w:lineRule="auto"/>
      <w:rPr>
        <w:sz w:val="20"/>
      </w:rPr>
    </w:pPr>
    <w:r>
      <w:rPr>
        <w:noProof/>
        <w:lang w:val="en-GB" w:eastAsia="en-GB"/>
      </w:rPr>
      <mc:AlternateContent>
        <mc:Choice Requires="wps">
          <w:drawing>
            <wp:anchor distT="0" distB="0" distL="114300" distR="114300" simplePos="0" relativeHeight="251658240" behindDoc="1" locked="0" layoutInCell="1" allowOverlap="1">
              <wp:simplePos x="0" y="0"/>
              <wp:positionH relativeFrom="page">
                <wp:posOffset>6551930</wp:posOffset>
              </wp:positionH>
              <wp:positionV relativeFrom="page">
                <wp:posOffset>9892665</wp:posOffset>
              </wp:positionV>
              <wp:extent cx="121285" cy="167005"/>
              <wp:effectExtent l="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3EA" w:rsidRDefault="00A45DF5">
                          <w:pPr>
                            <w:spacing w:before="12"/>
                            <w:ind w:left="40"/>
                            <w:rPr>
                              <w:sz w:val="20"/>
                            </w:rPr>
                          </w:pPr>
                          <w:r>
                            <w:fldChar w:fldCharType="begin"/>
                          </w:r>
                          <w:r>
                            <w:rPr>
                              <w:w w:val="99"/>
                              <w:sz w:val="20"/>
                            </w:rPr>
                            <w:instrText xml:space="preserve"> PAGE </w:instrText>
                          </w:r>
                          <w:r>
                            <w:fldChar w:fldCharType="separate"/>
                          </w:r>
                          <w:r>
                            <w:rPr>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9pt;margin-top:778.95pt;width:9.5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KX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" filled="f" stroked="f">
              <v:textbox inset="0,0,0,0">
                <w:txbxContent>
                  <w:p w:rsidR="00F063EA" w:rsidRDefault="00A45DF5">
                    <w:pPr>
                      <w:spacing w:before="12"/>
                      <w:ind w:left="40"/>
                      <w:rPr>
                        <w:sz w:val="20"/>
                      </w:rPr>
                    </w:pPr>
                    <w:r>
                      <w:fldChar w:fldCharType="begin"/>
                    </w:r>
                    <w:r>
                      <w:rPr>
                        <w:w w:val="99"/>
                        <w:sz w:val="20"/>
                      </w:rPr>
                      <w:instrText xml:space="preserve"> PAGE </w:instrText>
                    </w:r>
                    <w:r>
                      <w:fldChar w:fldCharType="separate"/>
                    </w:r>
                    <w:r>
                      <w:rPr>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5DF5">
      <w:r>
        <w:separator/>
      </w:r>
    </w:p>
  </w:footnote>
  <w:footnote w:type="continuationSeparator" w:id="0">
    <w:p w:rsidR="00000000" w:rsidRDefault="00A45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3EA" w:rsidRDefault="00A45DF5">
    <w:pPr>
      <w:pStyle w:val="BodyText"/>
      <w:spacing w:line="14" w:lineRule="auto"/>
      <w:rPr>
        <w:sz w:val="20"/>
      </w:rPr>
    </w:pPr>
    <w:r>
      <w:rPr>
        <w:noProof/>
        <w:sz w:val="20"/>
        <w:lang w:val="en-GB" w:eastAsia="en-GB"/>
      </w:rPr>
      <w:drawing>
        <wp:anchor distT="0" distB="0" distL="114300" distR="114300" simplePos="0" relativeHeight="251659264" behindDoc="0" locked="0" layoutInCell="1" allowOverlap="1">
          <wp:simplePos x="0" y="0"/>
          <wp:positionH relativeFrom="margin">
            <wp:posOffset>5257165</wp:posOffset>
          </wp:positionH>
          <wp:positionV relativeFrom="margin">
            <wp:posOffset>-659959</wp:posOffset>
          </wp:positionV>
          <wp:extent cx="982345" cy="5162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Resolution Right Align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5162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2C52"/>
    <w:multiLevelType w:val="hybridMultilevel"/>
    <w:tmpl w:val="26AC18CC"/>
    <w:lvl w:ilvl="0" w:tplc="BC9414CE">
      <w:start w:val="1"/>
      <w:numFmt w:val="decimal"/>
      <w:lvlText w:val="%1."/>
      <w:lvlJc w:val="left"/>
      <w:pPr>
        <w:ind w:left="480" w:hanging="360"/>
        <w:jc w:val="right"/>
      </w:pPr>
      <w:rPr>
        <w:rFonts w:ascii="Arial" w:eastAsia="Arial" w:hAnsi="Arial" w:cs="Arial" w:hint="default"/>
        <w:b/>
        <w:bCs/>
        <w:color w:val="4F81BC"/>
        <w:w w:val="99"/>
        <w:sz w:val="24"/>
        <w:szCs w:val="24"/>
      </w:rPr>
    </w:lvl>
    <w:lvl w:ilvl="1" w:tplc="68620660">
      <w:numFmt w:val="bullet"/>
      <w:lvlText w:val=""/>
      <w:lvlJc w:val="left"/>
      <w:pPr>
        <w:ind w:left="1540" w:hanging="360"/>
      </w:pPr>
      <w:rPr>
        <w:rFonts w:ascii="Symbol" w:eastAsia="Symbol" w:hAnsi="Symbol" w:cs="Symbol" w:hint="default"/>
        <w:color w:val="0071C5"/>
        <w:w w:val="100"/>
        <w:sz w:val="24"/>
        <w:szCs w:val="24"/>
      </w:rPr>
    </w:lvl>
    <w:lvl w:ilvl="2" w:tplc="FCB2FD42">
      <w:numFmt w:val="bullet"/>
      <w:lvlText w:val="•"/>
      <w:lvlJc w:val="left"/>
      <w:pPr>
        <w:ind w:left="1540" w:hanging="360"/>
      </w:pPr>
      <w:rPr>
        <w:rFonts w:hint="default"/>
      </w:rPr>
    </w:lvl>
    <w:lvl w:ilvl="3" w:tplc="7CF2C20E">
      <w:numFmt w:val="bullet"/>
      <w:lvlText w:val="•"/>
      <w:lvlJc w:val="left"/>
      <w:pPr>
        <w:ind w:left="2460" w:hanging="360"/>
      </w:pPr>
      <w:rPr>
        <w:rFonts w:hint="default"/>
      </w:rPr>
    </w:lvl>
    <w:lvl w:ilvl="4" w:tplc="12F484DC">
      <w:numFmt w:val="bullet"/>
      <w:lvlText w:val="•"/>
      <w:lvlJc w:val="left"/>
      <w:pPr>
        <w:ind w:left="3381" w:hanging="360"/>
      </w:pPr>
      <w:rPr>
        <w:rFonts w:hint="default"/>
      </w:rPr>
    </w:lvl>
    <w:lvl w:ilvl="5" w:tplc="7F6E2D0A">
      <w:numFmt w:val="bullet"/>
      <w:lvlText w:val="•"/>
      <w:lvlJc w:val="left"/>
      <w:pPr>
        <w:ind w:left="4302" w:hanging="360"/>
      </w:pPr>
      <w:rPr>
        <w:rFonts w:hint="default"/>
      </w:rPr>
    </w:lvl>
    <w:lvl w:ilvl="6" w:tplc="5C1E6904">
      <w:numFmt w:val="bullet"/>
      <w:lvlText w:val="•"/>
      <w:lvlJc w:val="left"/>
      <w:pPr>
        <w:ind w:left="5223" w:hanging="360"/>
      </w:pPr>
      <w:rPr>
        <w:rFonts w:hint="default"/>
      </w:rPr>
    </w:lvl>
    <w:lvl w:ilvl="7" w:tplc="4B903DA2">
      <w:numFmt w:val="bullet"/>
      <w:lvlText w:val="•"/>
      <w:lvlJc w:val="left"/>
      <w:pPr>
        <w:ind w:left="6144" w:hanging="360"/>
      </w:pPr>
      <w:rPr>
        <w:rFonts w:hint="default"/>
      </w:rPr>
    </w:lvl>
    <w:lvl w:ilvl="8" w:tplc="EB3E52CE">
      <w:numFmt w:val="bullet"/>
      <w:lvlText w:val="•"/>
      <w:lvlJc w:val="left"/>
      <w:pPr>
        <w:ind w:left="7064" w:hanging="360"/>
      </w:pPr>
      <w:rPr>
        <w:rFonts w:hint="default"/>
      </w:rPr>
    </w:lvl>
  </w:abstractNum>
  <w:abstractNum w:abstractNumId="1">
    <w:nsid w:val="36A519B0"/>
    <w:multiLevelType w:val="hybridMultilevel"/>
    <w:tmpl w:val="349A5954"/>
    <w:lvl w:ilvl="0" w:tplc="8264CFE8">
      <w:numFmt w:val="bullet"/>
      <w:lvlText w:val=""/>
      <w:lvlJc w:val="left"/>
      <w:pPr>
        <w:ind w:left="1200" w:hanging="360"/>
      </w:pPr>
      <w:rPr>
        <w:rFonts w:ascii="Symbol" w:eastAsia="Symbol" w:hAnsi="Symbol" w:cs="Symbol" w:hint="default"/>
        <w:color w:val="0071C5"/>
        <w:w w:val="100"/>
        <w:sz w:val="24"/>
        <w:szCs w:val="24"/>
      </w:rPr>
    </w:lvl>
    <w:lvl w:ilvl="1" w:tplc="9E3AC7FC">
      <w:numFmt w:val="bullet"/>
      <w:lvlText w:val="•"/>
      <w:lvlJc w:val="left"/>
      <w:pPr>
        <w:ind w:left="1970" w:hanging="360"/>
      </w:pPr>
      <w:rPr>
        <w:rFonts w:hint="default"/>
      </w:rPr>
    </w:lvl>
    <w:lvl w:ilvl="2" w:tplc="AA32C75C">
      <w:numFmt w:val="bullet"/>
      <w:lvlText w:val="•"/>
      <w:lvlJc w:val="left"/>
      <w:pPr>
        <w:ind w:left="2741" w:hanging="360"/>
      </w:pPr>
      <w:rPr>
        <w:rFonts w:hint="default"/>
      </w:rPr>
    </w:lvl>
    <w:lvl w:ilvl="3" w:tplc="880012FA">
      <w:numFmt w:val="bullet"/>
      <w:lvlText w:val="•"/>
      <w:lvlJc w:val="left"/>
      <w:pPr>
        <w:ind w:left="3511" w:hanging="360"/>
      </w:pPr>
      <w:rPr>
        <w:rFonts w:hint="default"/>
      </w:rPr>
    </w:lvl>
    <w:lvl w:ilvl="4" w:tplc="53CE84AC">
      <w:numFmt w:val="bullet"/>
      <w:lvlText w:val="•"/>
      <w:lvlJc w:val="left"/>
      <w:pPr>
        <w:ind w:left="4282" w:hanging="360"/>
      </w:pPr>
      <w:rPr>
        <w:rFonts w:hint="default"/>
      </w:rPr>
    </w:lvl>
    <w:lvl w:ilvl="5" w:tplc="3B2680A6">
      <w:numFmt w:val="bullet"/>
      <w:lvlText w:val="•"/>
      <w:lvlJc w:val="left"/>
      <w:pPr>
        <w:ind w:left="5053" w:hanging="360"/>
      </w:pPr>
      <w:rPr>
        <w:rFonts w:hint="default"/>
      </w:rPr>
    </w:lvl>
    <w:lvl w:ilvl="6" w:tplc="BEA42348">
      <w:numFmt w:val="bullet"/>
      <w:lvlText w:val="•"/>
      <w:lvlJc w:val="left"/>
      <w:pPr>
        <w:ind w:left="5823" w:hanging="360"/>
      </w:pPr>
      <w:rPr>
        <w:rFonts w:hint="default"/>
      </w:rPr>
    </w:lvl>
    <w:lvl w:ilvl="7" w:tplc="D2965A44">
      <w:numFmt w:val="bullet"/>
      <w:lvlText w:val="•"/>
      <w:lvlJc w:val="left"/>
      <w:pPr>
        <w:ind w:left="6594" w:hanging="360"/>
      </w:pPr>
      <w:rPr>
        <w:rFonts w:hint="default"/>
      </w:rPr>
    </w:lvl>
    <w:lvl w:ilvl="8" w:tplc="7340DA82">
      <w:numFmt w:val="bullet"/>
      <w:lvlText w:val="•"/>
      <w:lvlJc w:val="left"/>
      <w:pPr>
        <w:ind w:left="7365"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3EA"/>
    <w:rsid w:val="00A45DF5"/>
    <w:rsid w:val="00F0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0"/>
      <w:ind w:left="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0"/>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5DF5"/>
    <w:pPr>
      <w:tabs>
        <w:tab w:val="center" w:pos="4513"/>
        <w:tab w:val="right" w:pos="9026"/>
      </w:tabs>
    </w:pPr>
  </w:style>
  <w:style w:type="character" w:customStyle="1" w:styleId="HeaderChar">
    <w:name w:val="Header Char"/>
    <w:basedOn w:val="DefaultParagraphFont"/>
    <w:link w:val="Header"/>
    <w:uiPriority w:val="99"/>
    <w:rsid w:val="00A45DF5"/>
    <w:rPr>
      <w:rFonts w:ascii="Arial" w:eastAsia="Arial" w:hAnsi="Arial" w:cs="Arial"/>
    </w:rPr>
  </w:style>
  <w:style w:type="paragraph" w:styleId="Footer">
    <w:name w:val="footer"/>
    <w:basedOn w:val="Normal"/>
    <w:link w:val="FooterChar"/>
    <w:uiPriority w:val="99"/>
    <w:unhideWhenUsed/>
    <w:rsid w:val="00A45DF5"/>
    <w:pPr>
      <w:tabs>
        <w:tab w:val="center" w:pos="4513"/>
        <w:tab w:val="right" w:pos="9026"/>
      </w:tabs>
    </w:pPr>
  </w:style>
  <w:style w:type="character" w:customStyle="1" w:styleId="FooterChar">
    <w:name w:val="Footer Char"/>
    <w:basedOn w:val="DefaultParagraphFont"/>
    <w:link w:val="Footer"/>
    <w:uiPriority w:val="99"/>
    <w:rsid w:val="00A45DF5"/>
    <w:rPr>
      <w:rFonts w:ascii="Arial" w:eastAsia="Arial" w:hAnsi="Arial" w:cs="Arial"/>
    </w:rPr>
  </w:style>
  <w:style w:type="paragraph" w:styleId="BalloonText">
    <w:name w:val="Balloon Text"/>
    <w:basedOn w:val="Normal"/>
    <w:link w:val="BalloonTextChar"/>
    <w:uiPriority w:val="99"/>
    <w:semiHidden/>
    <w:unhideWhenUsed/>
    <w:rsid w:val="00A45DF5"/>
    <w:rPr>
      <w:rFonts w:ascii="Tahoma" w:hAnsi="Tahoma" w:cs="Tahoma"/>
      <w:sz w:val="16"/>
      <w:szCs w:val="16"/>
    </w:rPr>
  </w:style>
  <w:style w:type="character" w:customStyle="1" w:styleId="BalloonTextChar">
    <w:name w:val="Balloon Text Char"/>
    <w:basedOn w:val="DefaultParagraphFont"/>
    <w:link w:val="BalloonText"/>
    <w:uiPriority w:val="99"/>
    <w:semiHidden/>
    <w:rsid w:val="00A45DF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0"/>
      <w:ind w:left="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0"/>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5DF5"/>
    <w:pPr>
      <w:tabs>
        <w:tab w:val="center" w:pos="4513"/>
        <w:tab w:val="right" w:pos="9026"/>
      </w:tabs>
    </w:pPr>
  </w:style>
  <w:style w:type="character" w:customStyle="1" w:styleId="HeaderChar">
    <w:name w:val="Header Char"/>
    <w:basedOn w:val="DefaultParagraphFont"/>
    <w:link w:val="Header"/>
    <w:uiPriority w:val="99"/>
    <w:rsid w:val="00A45DF5"/>
    <w:rPr>
      <w:rFonts w:ascii="Arial" w:eastAsia="Arial" w:hAnsi="Arial" w:cs="Arial"/>
    </w:rPr>
  </w:style>
  <w:style w:type="paragraph" w:styleId="Footer">
    <w:name w:val="footer"/>
    <w:basedOn w:val="Normal"/>
    <w:link w:val="FooterChar"/>
    <w:uiPriority w:val="99"/>
    <w:unhideWhenUsed/>
    <w:rsid w:val="00A45DF5"/>
    <w:pPr>
      <w:tabs>
        <w:tab w:val="center" w:pos="4513"/>
        <w:tab w:val="right" w:pos="9026"/>
      </w:tabs>
    </w:pPr>
  </w:style>
  <w:style w:type="character" w:customStyle="1" w:styleId="FooterChar">
    <w:name w:val="Footer Char"/>
    <w:basedOn w:val="DefaultParagraphFont"/>
    <w:link w:val="Footer"/>
    <w:uiPriority w:val="99"/>
    <w:rsid w:val="00A45DF5"/>
    <w:rPr>
      <w:rFonts w:ascii="Arial" w:eastAsia="Arial" w:hAnsi="Arial" w:cs="Arial"/>
    </w:rPr>
  </w:style>
  <w:style w:type="paragraph" w:styleId="BalloonText">
    <w:name w:val="Balloon Text"/>
    <w:basedOn w:val="Normal"/>
    <w:link w:val="BalloonTextChar"/>
    <w:uiPriority w:val="99"/>
    <w:semiHidden/>
    <w:unhideWhenUsed/>
    <w:rsid w:val="00A45DF5"/>
    <w:rPr>
      <w:rFonts w:ascii="Tahoma" w:hAnsi="Tahoma" w:cs="Tahoma"/>
      <w:sz w:val="16"/>
      <w:szCs w:val="16"/>
    </w:rPr>
  </w:style>
  <w:style w:type="character" w:customStyle="1" w:styleId="BalloonTextChar">
    <w:name w:val="Balloon Text Char"/>
    <w:basedOn w:val="DefaultParagraphFont"/>
    <w:link w:val="BalloonText"/>
    <w:uiPriority w:val="99"/>
    <w:semiHidden/>
    <w:rsid w:val="00A45DF5"/>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2017-08-18T15:01:00Z</dcterms:created>
  <dcterms:modified xsi:type="dcterms:W3CDTF">2017-08-18T15:01:00Z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2015-07-29T00:00:00Z</vt:filetime>
  </property>
  <property fmtid="{D5CDD505-2E9C-101B-9397-08002B2CF9AE}" pid="3" name="Creator">
    <vt:lpwstr>Microsoft® Word 2010</vt:lpwstr>
  </property>
  <property fmtid="{D5CDD505-2E9C-101B-9397-08002B2CF9AE}" pid="4" name="LastSaved">
    <vt:filetime>2017-08-18T00:00:00Z</vt:filetime>
  </property>
</Properties>
</file>